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FCBA4" w14:textId="77777777" w:rsidR="0057539E" w:rsidRPr="009F2AFA" w:rsidRDefault="0057539E" w:rsidP="000E13B7">
      <w:pPr>
        <w:spacing w:before="240" w:after="240"/>
        <w:ind w:left="1418" w:hanging="1418"/>
        <w:rPr>
          <w:sz w:val="18"/>
          <w:szCs w:val="18"/>
        </w:rPr>
      </w:pPr>
    </w:p>
    <w:p w14:paraId="3F9AD719" w14:textId="6E61A820" w:rsidR="00701DB2" w:rsidRPr="000E13B7" w:rsidRDefault="00701DB2" w:rsidP="000E13B7">
      <w:pPr>
        <w:spacing w:before="240" w:after="240"/>
        <w:jc w:val="center"/>
        <w:rPr>
          <w:b/>
          <w:color w:val="000000" w:themeColor="text1"/>
          <w:sz w:val="28"/>
        </w:rPr>
      </w:pPr>
      <w:r w:rsidRPr="00701DB2">
        <w:rPr>
          <w:b/>
          <w:color w:val="000000" w:themeColor="text1"/>
          <w:sz w:val="28"/>
        </w:rPr>
        <w:t>Effect of Adding Encapsulated Amaranth Microgreens Extract on Antioxidant, Microbiological, Physicochemical and Sensory Properties of Yogurt</w:t>
      </w:r>
    </w:p>
    <w:p w14:paraId="69C5E9BF" w14:textId="352F306D" w:rsidR="00701DB2" w:rsidRDefault="00701DB2" w:rsidP="000E13B7">
      <w:pPr>
        <w:spacing w:before="240" w:after="240"/>
        <w:jc w:val="center"/>
        <w:rPr>
          <w:b/>
          <w:i/>
          <w:color w:val="000000" w:themeColor="text1"/>
          <w:sz w:val="22"/>
          <w:vertAlign w:val="superscript"/>
          <w:lang w:val="tr-TR"/>
        </w:rPr>
      </w:pPr>
      <w:r w:rsidRPr="00701DB2">
        <w:rPr>
          <w:b/>
          <w:bCs/>
          <w:i/>
          <w:color w:val="000000" w:themeColor="text1"/>
          <w:sz w:val="22"/>
          <w:u w:val="single"/>
          <w:lang w:val="tr-TR"/>
        </w:rPr>
        <w:t>Esen TAŞĞIN</w:t>
      </w:r>
      <w:r w:rsidRPr="00701DB2">
        <w:rPr>
          <w:b/>
          <w:bCs/>
          <w:i/>
          <w:color w:val="000000" w:themeColor="text1"/>
          <w:sz w:val="22"/>
          <w:u w:val="single"/>
          <w:vertAlign w:val="superscript"/>
          <w:lang w:val="tr-TR"/>
        </w:rPr>
        <w:t>1</w:t>
      </w:r>
      <w:r w:rsidRPr="00701DB2">
        <w:rPr>
          <w:b/>
          <w:i/>
          <w:color w:val="000000" w:themeColor="text1"/>
          <w:sz w:val="22"/>
          <w:lang w:val="tr-TR"/>
        </w:rPr>
        <w:t>, Zeynep ÖZEN</w:t>
      </w:r>
      <w:r w:rsidRPr="00701DB2">
        <w:rPr>
          <w:b/>
          <w:i/>
          <w:color w:val="000000" w:themeColor="text1"/>
          <w:sz w:val="22"/>
          <w:vertAlign w:val="superscript"/>
          <w:lang w:val="tr-TR"/>
        </w:rPr>
        <w:t>2</w:t>
      </w:r>
      <w:r w:rsidRPr="00701DB2">
        <w:rPr>
          <w:b/>
          <w:i/>
          <w:color w:val="000000" w:themeColor="text1"/>
          <w:sz w:val="22"/>
          <w:lang w:val="tr-TR"/>
        </w:rPr>
        <w:t>,</w:t>
      </w:r>
      <w:r w:rsidR="00AA4418">
        <w:rPr>
          <w:b/>
          <w:i/>
          <w:color w:val="000000" w:themeColor="text1"/>
          <w:sz w:val="22"/>
          <w:lang w:val="tr-TR"/>
        </w:rPr>
        <w:t xml:space="preserve"> </w:t>
      </w:r>
      <w:r w:rsidRPr="00701DB2">
        <w:rPr>
          <w:b/>
          <w:i/>
          <w:color w:val="000000" w:themeColor="text1"/>
          <w:sz w:val="22"/>
          <w:lang w:val="tr-TR"/>
        </w:rPr>
        <w:t>Hayrunnisa NADAROĞLU</w:t>
      </w:r>
      <w:r w:rsidRPr="00701DB2">
        <w:rPr>
          <w:b/>
          <w:i/>
          <w:color w:val="000000" w:themeColor="text1"/>
          <w:sz w:val="22"/>
          <w:vertAlign w:val="superscript"/>
          <w:lang w:val="tr-TR"/>
        </w:rPr>
        <w:t>3</w:t>
      </w:r>
    </w:p>
    <w:p w14:paraId="260BD4A0" w14:textId="18BA1886" w:rsidR="00701DB2" w:rsidRPr="00701DB2" w:rsidRDefault="00701DB2" w:rsidP="000E13B7">
      <w:pPr>
        <w:spacing w:before="240" w:after="240"/>
        <w:jc w:val="center"/>
        <w:rPr>
          <w:i/>
          <w:color w:val="000000" w:themeColor="text1"/>
          <w:sz w:val="18"/>
          <w:szCs w:val="22"/>
        </w:rPr>
      </w:pPr>
      <w:r w:rsidRPr="00701DB2">
        <w:rPr>
          <w:i/>
          <w:color w:val="000000" w:themeColor="text1"/>
          <w:sz w:val="18"/>
          <w:szCs w:val="22"/>
          <w:vertAlign w:val="superscript"/>
          <w:lang w:val="tr-TR"/>
        </w:rPr>
        <w:t>1</w:t>
      </w:r>
      <w:r w:rsidRPr="00701DB2">
        <w:rPr>
          <w:i/>
          <w:color w:val="000000" w:themeColor="text1"/>
          <w:sz w:val="18"/>
          <w:szCs w:val="22"/>
          <w:lang w:val="tr-TR"/>
        </w:rPr>
        <w:t xml:space="preserve">Faculty of Health Sciences, Atatürk University, </w:t>
      </w:r>
      <w:r>
        <w:rPr>
          <w:i/>
          <w:color w:val="000000" w:themeColor="text1"/>
          <w:sz w:val="18"/>
          <w:szCs w:val="22"/>
          <w:lang w:val="tr-TR"/>
        </w:rPr>
        <w:t>Erzurum, TURKIYE</w:t>
      </w:r>
    </w:p>
    <w:p w14:paraId="0C4C1001" w14:textId="17F7FEDF" w:rsidR="00701DB2" w:rsidRPr="00701DB2" w:rsidRDefault="00701DB2" w:rsidP="000E13B7">
      <w:pPr>
        <w:spacing w:before="240" w:after="240"/>
        <w:jc w:val="center"/>
        <w:rPr>
          <w:i/>
          <w:color w:val="000000" w:themeColor="text1"/>
          <w:sz w:val="18"/>
          <w:szCs w:val="22"/>
        </w:rPr>
      </w:pPr>
      <w:r>
        <w:rPr>
          <w:i/>
          <w:color w:val="000000" w:themeColor="text1"/>
          <w:sz w:val="18"/>
          <w:szCs w:val="22"/>
          <w:vertAlign w:val="superscript"/>
          <w:lang w:val="tr-TR"/>
        </w:rPr>
        <w:t>2</w:t>
      </w:r>
      <w:r w:rsidRPr="00701DB2">
        <w:rPr>
          <w:i/>
          <w:color w:val="000000" w:themeColor="text1"/>
          <w:sz w:val="18"/>
          <w:szCs w:val="22"/>
          <w:lang w:val="tr-TR"/>
        </w:rPr>
        <w:t xml:space="preserve">Faculty of Health Sciences, Atatürk University, </w:t>
      </w:r>
      <w:r>
        <w:rPr>
          <w:i/>
          <w:color w:val="000000" w:themeColor="text1"/>
          <w:sz w:val="18"/>
          <w:szCs w:val="22"/>
          <w:lang w:val="tr-TR"/>
        </w:rPr>
        <w:t>Erzurum, TURKIYE</w:t>
      </w:r>
    </w:p>
    <w:p w14:paraId="68A53C6B" w14:textId="337BCE5C" w:rsidR="00701DB2" w:rsidRPr="000E13B7" w:rsidRDefault="00701DB2" w:rsidP="000E13B7">
      <w:pPr>
        <w:spacing w:before="240" w:after="240"/>
        <w:jc w:val="center"/>
        <w:rPr>
          <w:i/>
          <w:color w:val="000000" w:themeColor="text1"/>
          <w:sz w:val="20"/>
        </w:rPr>
      </w:pPr>
      <w:r w:rsidRPr="00701DB2">
        <w:rPr>
          <w:i/>
          <w:color w:val="000000" w:themeColor="text1"/>
          <w:sz w:val="18"/>
          <w:szCs w:val="22"/>
          <w:vertAlign w:val="superscript"/>
          <w:lang w:val="tr-TR"/>
        </w:rPr>
        <w:t>3</w:t>
      </w:r>
      <w:r w:rsidRPr="00701DB2">
        <w:rPr>
          <w:i/>
          <w:color w:val="000000" w:themeColor="text1"/>
          <w:sz w:val="18"/>
          <w:szCs w:val="22"/>
          <w:lang w:val="tr-TR"/>
        </w:rPr>
        <w:t xml:space="preserve">Vocational School of Technical Sciences, Atatürk University, </w:t>
      </w:r>
      <w:r>
        <w:rPr>
          <w:i/>
          <w:color w:val="000000" w:themeColor="text1"/>
          <w:sz w:val="18"/>
          <w:szCs w:val="22"/>
          <w:lang w:val="tr-TR"/>
        </w:rPr>
        <w:t>Erzurum, TURKIYE</w:t>
      </w:r>
    </w:p>
    <w:p w14:paraId="0F5BAB7E" w14:textId="28D821A9" w:rsidR="00A57AEE" w:rsidRPr="00783985" w:rsidRDefault="00783985" w:rsidP="000E13B7">
      <w:pPr>
        <w:spacing w:before="240" w:after="240"/>
        <w:jc w:val="center"/>
        <w:rPr>
          <w:color w:val="000000"/>
          <w:sz w:val="18"/>
          <w:szCs w:val="18"/>
        </w:rPr>
      </w:pPr>
      <w:r>
        <w:rPr>
          <w:color w:val="000000" w:themeColor="text1"/>
          <w:sz w:val="18"/>
          <w:szCs w:val="18"/>
        </w:rPr>
        <w:t>Presenting author</w:t>
      </w:r>
      <w:r w:rsidRPr="002052C4">
        <w:rPr>
          <w:color w:val="000000" w:themeColor="text1"/>
          <w:sz w:val="18"/>
          <w:szCs w:val="18"/>
        </w:rPr>
        <w:t xml:space="preserve"> </w:t>
      </w:r>
      <w:r w:rsidRPr="002052C4">
        <w:rPr>
          <w:i/>
          <w:color w:val="000000" w:themeColor="text1"/>
          <w:sz w:val="18"/>
          <w:szCs w:val="18"/>
        </w:rPr>
        <w:t>e-mail address:</w:t>
      </w:r>
      <w:r w:rsidR="00701DB2">
        <w:rPr>
          <w:i/>
          <w:color w:val="000000" w:themeColor="text1"/>
          <w:sz w:val="18"/>
          <w:szCs w:val="18"/>
        </w:rPr>
        <w:t>esent25</w:t>
      </w:r>
      <w:r w:rsidRPr="002052C4">
        <w:rPr>
          <w:i/>
          <w:color w:val="000000" w:themeColor="text1"/>
          <w:sz w:val="18"/>
          <w:szCs w:val="18"/>
        </w:rPr>
        <w:t>@</w:t>
      </w:r>
      <w:r w:rsidR="00701DB2">
        <w:rPr>
          <w:i/>
          <w:color w:val="000000" w:themeColor="text1"/>
          <w:sz w:val="18"/>
          <w:szCs w:val="18"/>
        </w:rPr>
        <w:t>atauni.edu.tr</w:t>
      </w:r>
    </w:p>
    <w:p w14:paraId="4ACEB4EC" w14:textId="77777777" w:rsidR="00A57AEE" w:rsidRDefault="00A57AEE" w:rsidP="000E13B7">
      <w:pPr>
        <w:spacing w:before="240" w:after="240" w:line="360" w:lineRule="auto"/>
        <w:jc w:val="both"/>
        <w:rPr>
          <w:color w:val="000000"/>
        </w:rPr>
      </w:pPr>
    </w:p>
    <w:p w14:paraId="76FFABC1" w14:textId="77777777" w:rsidR="00BC01DD" w:rsidRPr="00E52410" w:rsidRDefault="00BC01DD" w:rsidP="000E13B7">
      <w:pPr>
        <w:spacing w:before="240" w:after="240"/>
        <w:rPr>
          <w:b/>
          <w:bCs/>
        </w:rPr>
      </w:pPr>
      <w:r w:rsidRPr="00E52410">
        <w:rPr>
          <w:b/>
          <w:bCs/>
        </w:rPr>
        <w:t>Abstract</w:t>
      </w:r>
    </w:p>
    <w:p w14:paraId="1F1A4D8A" w14:textId="77777777" w:rsidR="00701DB2" w:rsidRDefault="00701DB2" w:rsidP="000E13B7">
      <w:pPr>
        <w:spacing w:before="240" w:after="240"/>
        <w:ind w:firstLine="720"/>
        <w:jc w:val="both"/>
        <w:rPr>
          <w:color w:val="000000" w:themeColor="text1"/>
        </w:rPr>
      </w:pPr>
      <w:r>
        <w:rPr>
          <w:color w:val="000000" w:themeColor="text1"/>
          <w:lang w:val="tr-TR"/>
        </w:rPr>
        <w:t xml:space="preserve">In this study, encapsulation of amaranth microgreens extract was carried out using complex coacervation method with bovine gelatin and gum arabic in order to increase the stability and bioavailability of its bioactive components. FTIR and XRD analyses of the obtained capsules confirmed a successful encapsulation process and the amorphous structure of the extract. The pH, acidity, antioxidant activity, microbiological properties, color and sensory properties of yogurt samples to which capsules were added at </w:t>
      </w:r>
      <w:proofErr w:type="gramStart"/>
      <w:r>
        <w:rPr>
          <w:color w:val="000000" w:themeColor="text1"/>
          <w:lang w:val="tr-TR"/>
        </w:rPr>
        <w:t>0.1</w:t>
      </w:r>
      <w:proofErr w:type="gramEnd"/>
      <w:r>
        <w:rPr>
          <w:color w:val="000000" w:themeColor="text1"/>
          <w:lang w:val="tr-TR"/>
        </w:rPr>
        <w:t xml:space="preserve">% and 0.5% levels were examined during 4 weeks of storage. Yogurts with capsule addition showed higher performance than the control group in terms of antioxidant activity. E. coli and S. aureus were not detected in microbiological analyses. The yogurt sample with </w:t>
      </w:r>
      <w:proofErr w:type="gramStart"/>
      <w:r>
        <w:rPr>
          <w:color w:val="000000" w:themeColor="text1"/>
          <w:lang w:val="tr-TR"/>
        </w:rPr>
        <w:t>0.1</w:t>
      </w:r>
      <w:proofErr w:type="gramEnd"/>
      <w:r>
        <w:rPr>
          <w:color w:val="000000" w:themeColor="text1"/>
          <w:lang w:val="tr-TR"/>
        </w:rPr>
        <w:t>% capsule addition was appreciated more than the control group in sensory evaluation. The results show that encapsulation of amaranth microgreens extract preserves the stability of bioactive components and increases the nutritional value of yogurt, providing a functional product.</w:t>
      </w:r>
    </w:p>
    <w:p w14:paraId="777792D2" w14:textId="77777777" w:rsidR="00E52410" w:rsidRDefault="00E52410" w:rsidP="000E13B7">
      <w:pPr>
        <w:pStyle w:val="keywords"/>
        <w:spacing w:before="240" w:after="240"/>
        <w:ind w:firstLine="0"/>
        <w:rPr>
          <w:rFonts w:eastAsia="MS Mincho"/>
          <w:color w:val="000000" w:themeColor="text1"/>
          <w:sz w:val="20"/>
          <w:szCs w:val="20"/>
          <w:lang w:val="tr-TR"/>
        </w:rPr>
      </w:pPr>
    </w:p>
    <w:p w14:paraId="43C684DE" w14:textId="3595F278" w:rsidR="00701DB2" w:rsidRDefault="00E52410" w:rsidP="000E13B7">
      <w:pPr>
        <w:spacing w:before="240" w:after="240"/>
        <w:jc w:val="both"/>
        <w:rPr>
          <w:color w:val="000000" w:themeColor="text1"/>
        </w:rPr>
      </w:pPr>
      <w:r w:rsidRPr="0097784A">
        <w:rPr>
          <w:rFonts w:eastAsia="MS Mincho"/>
          <w:color w:val="000000" w:themeColor="text1"/>
          <w:sz w:val="20"/>
          <w:szCs w:val="20"/>
          <w:lang w:val="tr-TR"/>
        </w:rPr>
        <w:t xml:space="preserve">Keywords: </w:t>
      </w:r>
      <w:r w:rsidR="00701DB2">
        <w:rPr>
          <w:color w:val="000000" w:themeColor="text1"/>
          <w:lang w:val="tr-TR"/>
        </w:rPr>
        <w:t>Amaranth microgreens, antioxidant, encapsulation, yogurt</w:t>
      </w:r>
    </w:p>
    <w:p w14:paraId="61E1C13E" w14:textId="36282AB8" w:rsidR="000E13B7" w:rsidRPr="0097784A" w:rsidRDefault="00701DB2" w:rsidP="000E13B7">
      <w:pPr>
        <w:pStyle w:val="keywords"/>
        <w:spacing w:before="240" w:after="240"/>
        <w:ind w:firstLine="0"/>
        <w:rPr>
          <w:rFonts w:eastAsia="MS Mincho"/>
          <w:b w:val="0"/>
          <w:bCs w:val="0"/>
          <w:color w:val="000000" w:themeColor="text1"/>
          <w:sz w:val="20"/>
          <w:szCs w:val="20"/>
          <w:lang w:val="tr-TR"/>
        </w:rPr>
      </w:pPr>
      <w:r w:rsidRPr="005F0644">
        <w:rPr>
          <w:color w:val="FF0000"/>
          <w:sz w:val="20"/>
        </w:rPr>
        <w:t xml:space="preserve"> </w:t>
      </w:r>
    </w:p>
    <w:p w14:paraId="67708D68" w14:textId="77777777" w:rsidR="00701DB2" w:rsidRPr="00701DB2" w:rsidRDefault="00F46B4C" w:rsidP="000E13B7">
      <w:pPr>
        <w:pStyle w:val="ListeParagraf"/>
        <w:numPr>
          <w:ilvl w:val="0"/>
          <w:numId w:val="12"/>
        </w:numPr>
        <w:autoSpaceDE w:val="0"/>
        <w:autoSpaceDN w:val="0"/>
        <w:adjustRightInd w:val="0"/>
        <w:spacing w:before="240" w:after="240"/>
        <w:ind w:left="426" w:right="-59" w:hanging="426"/>
        <w:rPr>
          <w:color w:val="000000" w:themeColor="text1"/>
        </w:rPr>
      </w:pPr>
      <w:r w:rsidRPr="00701DB2">
        <w:rPr>
          <w:b/>
          <w:color w:val="000000" w:themeColor="text1"/>
          <w:sz w:val="24"/>
        </w:rPr>
        <w:t xml:space="preserve">INTRODUCTION </w:t>
      </w:r>
    </w:p>
    <w:p w14:paraId="35108C62" w14:textId="77777777" w:rsidR="00701DB2" w:rsidRDefault="00701DB2" w:rsidP="000E13B7">
      <w:pPr>
        <w:pStyle w:val="ListeParagraf"/>
        <w:autoSpaceDE w:val="0"/>
        <w:autoSpaceDN w:val="0"/>
        <w:adjustRightInd w:val="0"/>
        <w:spacing w:before="240" w:after="240"/>
        <w:ind w:left="426" w:right="-59" w:firstLine="0"/>
        <w:rPr>
          <w:b/>
          <w:color w:val="FF0000"/>
        </w:rPr>
      </w:pPr>
    </w:p>
    <w:p w14:paraId="0B967CBB" w14:textId="167F5527" w:rsidR="00701DB2" w:rsidRDefault="00701DB2" w:rsidP="000E13B7">
      <w:pPr>
        <w:spacing w:before="240" w:after="240"/>
        <w:ind w:firstLine="426"/>
        <w:jc w:val="both"/>
        <w:rPr>
          <w:color w:val="000000" w:themeColor="text1"/>
        </w:rPr>
      </w:pPr>
      <w:r>
        <w:rPr>
          <w:color w:val="000000" w:themeColor="text1"/>
          <w:lang w:val="tr-TR"/>
        </w:rPr>
        <w:t xml:space="preserve">Healthy nutrition is a determining factor in preventing diseases and maintaining well-being throughout life, leading the society to healthy nutrition. With the increasing interest in healthy nutrition, the </w:t>
      </w:r>
      <w:proofErr w:type="gramStart"/>
      <w:r>
        <w:rPr>
          <w:color w:val="000000" w:themeColor="text1"/>
          <w:lang w:val="tr-TR"/>
        </w:rPr>
        <w:t>trend</w:t>
      </w:r>
      <w:proofErr w:type="gramEnd"/>
      <w:r>
        <w:rPr>
          <w:color w:val="000000" w:themeColor="text1"/>
          <w:lang w:val="tr-TR"/>
        </w:rPr>
        <w:t xml:space="preserve"> towards fresh, nutraceutical and functional foods is also increasing </w:t>
      </w:r>
      <w:r w:rsidR="006C7484" w:rsidRPr="006C7484">
        <w:rPr>
          <w:spacing w:val="-3"/>
          <w:szCs w:val="20"/>
        </w:rPr>
        <w:t xml:space="preserve">[1], [2]. </w:t>
      </w:r>
      <w:r>
        <w:rPr>
          <w:color w:val="000000" w:themeColor="text1"/>
          <w:lang w:val="tr-TR"/>
        </w:rPr>
        <w:t>The stability of bioactive compounds is of critical importance for their proper inclusion in food systems.</w:t>
      </w:r>
    </w:p>
    <w:p w14:paraId="3D784324" w14:textId="59AD263F" w:rsidR="00701DB2" w:rsidRDefault="00701DB2" w:rsidP="000E13B7">
      <w:pPr>
        <w:spacing w:before="240" w:after="240"/>
        <w:ind w:firstLine="426"/>
        <w:jc w:val="both"/>
        <w:rPr>
          <w:color w:val="000000" w:themeColor="text1"/>
        </w:rPr>
      </w:pPr>
      <w:r>
        <w:rPr>
          <w:color w:val="000000" w:themeColor="text1"/>
          <w:lang w:val="tr-TR"/>
        </w:rPr>
        <w:t xml:space="preserve">Bioactive components such as vitamins, minerals, polyphenols and probiotics are sensitive to environmental factors such as light, heat, water and oxygen, which limits their nutritional value and shelf life. In addition, changes in the chemical structures of bioactive compounds during processes in the gastrointestinal tract can also negatively affect their </w:t>
      </w:r>
      <w:r>
        <w:rPr>
          <w:color w:val="000000" w:themeColor="text1"/>
          <w:lang w:val="tr-TR"/>
        </w:rPr>
        <w:lastRenderedPageBreak/>
        <w:t>stability.</w:t>
      </w:r>
      <w:r w:rsidR="00A82883">
        <w:rPr>
          <w:color w:val="000000" w:themeColor="text1"/>
          <w:lang w:val="tr-TR"/>
        </w:rPr>
        <w:t xml:space="preserve"> </w:t>
      </w:r>
      <w:r>
        <w:rPr>
          <w:color w:val="000000" w:themeColor="text1"/>
          <w:lang w:val="tr-TR"/>
        </w:rPr>
        <w:t xml:space="preserve">The encapsulation method protects bioactive compounds from environmental factors by trapping them in a protective matrix, thus helping to overcome these problems. This method also offers the advantage of not significantly changing the rheological and sensory properties of food </w:t>
      </w:r>
      <w:r w:rsidR="006C7484" w:rsidRPr="006C7484">
        <w:rPr>
          <w:spacing w:val="-3"/>
          <w:szCs w:val="20"/>
        </w:rPr>
        <w:t>[</w:t>
      </w:r>
      <w:r w:rsidR="006C7484">
        <w:rPr>
          <w:spacing w:val="-3"/>
          <w:szCs w:val="20"/>
        </w:rPr>
        <w:t>3</w:t>
      </w:r>
      <w:r w:rsidR="006C7484" w:rsidRPr="006C7484">
        <w:rPr>
          <w:spacing w:val="-3"/>
          <w:szCs w:val="20"/>
        </w:rPr>
        <w:t>].</w:t>
      </w:r>
    </w:p>
    <w:p w14:paraId="49B495EB" w14:textId="162086AB" w:rsidR="00701DB2" w:rsidRDefault="00701DB2" w:rsidP="000E13B7">
      <w:pPr>
        <w:spacing w:before="240" w:after="240"/>
        <w:ind w:firstLine="720"/>
        <w:jc w:val="both"/>
        <w:rPr>
          <w:color w:val="000000" w:themeColor="text1"/>
        </w:rPr>
      </w:pPr>
      <w:r>
        <w:rPr>
          <w:color w:val="000000" w:themeColor="text1"/>
          <w:lang w:val="tr-TR"/>
        </w:rPr>
        <w:t xml:space="preserve">Recent research to increase the efficacy and health benefits of bioactive ingredients focuses on the encapsulation of various enzymes, coenzymes, therapeutic agents or bioactive peptides </w:t>
      </w:r>
      <w:r w:rsidR="006C7484" w:rsidRPr="006C7484">
        <w:rPr>
          <w:spacing w:val="-3"/>
          <w:szCs w:val="20"/>
        </w:rPr>
        <w:t>[</w:t>
      </w:r>
      <w:r w:rsidR="006C7484">
        <w:rPr>
          <w:spacing w:val="-3"/>
          <w:szCs w:val="20"/>
        </w:rPr>
        <w:t>4</w:t>
      </w:r>
      <w:r w:rsidR="006C7484" w:rsidRPr="006C7484">
        <w:rPr>
          <w:spacing w:val="-3"/>
          <w:szCs w:val="20"/>
        </w:rPr>
        <w:t>].</w:t>
      </w:r>
      <w:r w:rsidR="006C7484">
        <w:rPr>
          <w:spacing w:val="-3"/>
          <w:szCs w:val="20"/>
        </w:rPr>
        <w:t xml:space="preserve"> </w:t>
      </w:r>
      <w:proofErr w:type="gramStart"/>
      <w:r>
        <w:rPr>
          <w:color w:val="000000" w:themeColor="text1"/>
          <w:lang w:val="tr-TR"/>
        </w:rPr>
        <w:t xml:space="preserve">The protection of bioactive ingredients from environmental stress factors such as temperature, humidity, oxygen, radiation, light and adverse pH conditions and the control of the release of active ingredients from food matrices at the desired rate, at the right time and in the right place are among the main objectives. </w:t>
      </w:r>
      <w:proofErr w:type="gramEnd"/>
      <w:r>
        <w:rPr>
          <w:color w:val="000000" w:themeColor="text1"/>
          <w:lang w:val="tr-TR"/>
        </w:rPr>
        <w:t xml:space="preserve">In addition, recent trends in encapsulation technology aim to increase the bioavailability of a nutrient, facilitate the addition of bioactive ingredients to foods without changing their sensory properties in foods and thus improve product use </w:t>
      </w:r>
      <w:r w:rsidR="006C7484" w:rsidRPr="006C7484">
        <w:rPr>
          <w:spacing w:val="-3"/>
          <w:szCs w:val="20"/>
        </w:rPr>
        <w:t>[</w:t>
      </w:r>
      <w:r w:rsidR="006C7484">
        <w:rPr>
          <w:spacing w:val="-3"/>
          <w:szCs w:val="20"/>
        </w:rPr>
        <w:t>4</w:t>
      </w:r>
      <w:r w:rsidR="006C7484" w:rsidRPr="006C7484">
        <w:rPr>
          <w:spacing w:val="-3"/>
          <w:szCs w:val="20"/>
        </w:rPr>
        <w:t>].</w:t>
      </w:r>
      <w:r w:rsidR="006C7484">
        <w:rPr>
          <w:spacing w:val="-3"/>
          <w:szCs w:val="20"/>
        </w:rPr>
        <w:t xml:space="preserve"> </w:t>
      </w:r>
      <w:r>
        <w:rPr>
          <w:color w:val="000000" w:themeColor="text1"/>
          <w:lang w:val="tr-TR"/>
        </w:rPr>
        <w:t xml:space="preserve">Encapsulation is defined as the encapsulation of an active ingredient in a matrix consisting of an inert material. Encapsulation technology also acts as a barrier to protect bioactive compounds such as polyphenols, antioxidants, micronutrients, and enzymes against heat, light, moisture, pH, oxygen, or other adverse conditions </w:t>
      </w:r>
      <w:r w:rsidR="006C7484" w:rsidRPr="006C7484">
        <w:rPr>
          <w:spacing w:val="-3"/>
          <w:szCs w:val="20"/>
        </w:rPr>
        <w:t>[</w:t>
      </w:r>
      <w:r w:rsidR="006C7484">
        <w:rPr>
          <w:spacing w:val="-3"/>
          <w:szCs w:val="20"/>
        </w:rPr>
        <w:t>5</w:t>
      </w:r>
      <w:r w:rsidR="006C7484" w:rsidRPr="006C7484">
        <w:rPr>
          <w:spacing w:val="-3"/>
          <w:szCs w:val="20"/>
        </w:rPr>
        <w:t>].</w:t>
      </w:r>
      <w:r w:rsidR="006C7484">
        <w:rPr>
          <w:spacing w:val="-3"/>
          <w:szCs w:val="20"/>
        </w:rPr>
        <w:t xml:space="preserve"> </w:t>
      </w:r>
      <w:r>
        <w:rPr>
          <w:color w:val="000000" w:themeColor="text1"/>
          <w:lang w:val="tr-TR"/>
        </w:rPr>
        <w:t xml:space="preserve">Nanoencapsulation protects the bioactive compounds to be used (nutraceuticals, polyphenols, antioxidants, micronutrients, and enzymes) from environmental conditions in the capsule and provides controlled release of these compounds in targeted areas. Thus, targeted distribution and controlled release of bioactive compounds are improved and their bioavailability is also increased </w:t>
      </w:r>
      <w:r w:rsidR="006C7484" w:rsidRPr="006C7484">
        <w:rPr>
          <w:spacing w:val="-3"/>
          <w:szCs w:val="20"/>
        </w:rPr>
        <w:t>[</w:t>
      </w:r>
      <w:r w:rsidR="006C7484">
        <w:rPr>
          <w:spacing w:val="-3"/>
          <w:szCs w:val="20"/>
        </w:rPr>
        <w:t>6</w:t>
      </w:r>
      <w:r w:rsidR="006C7484" w:rsidRPr="006C7484">
        <w:rPr>
          <w:spacing w:val="-3"/>
          <w:szCs w:val="20"/>
        </w:rPr>
        <w:t>]</w:t>
      </w:r>
      <w:r w:rsidR="006C7484">
        <w:rPr>
          <w:spacing w:val="-3"/>
          <w:szCs w:val="20"/>
        </w:rPr>
        <w:t>,</w:t>
      </w:r>
      <w:r w:rsidR="006C7484" w:rsidRPr="006C7484">
        <w:rPr>
          <w:spacing w:val="-3"/>
          <w:szCs w:val="20"/>
        </w:rPr>
        <w:t>[</w:t>
      </w:r>
      <w:r w:rsidR="006C7484">
        <w:rPr>
          <w:spacing w:val="-3"/>
          <w:szCs w:val="20"/>
        </w:rPr>
        <w:t>7</w:t>
      </w:r>
      <w:r w:rsidR="006C7484" w:rsidRPr="006C7484">
        <w:rPr>
          <w:spacing w:val="-3"/>
          <w:szCs w:val="20"/>
        </w:rPr>
        <w:t>].</w:t>
      </w:r>
    </w:p>
    <w:p w14:paraId="3F5E7C11" w14:textId="18BA2BAB" w:rsidR="00701DB2" w:rsidRPr="00C80B7D" w:rsidRDefault="00701DB2" w:rsidP="000E13B7">
      <w:pPr>
        <w:spacing w:before="240" w:after="240"/>
        <w:ind w:firstLine="426"/>
        <w:jc w:val="both"/>
        <w:rPr>
          <w:color w:val="000000" w:themeColor="text1"/>
          <w:lang w:val="tr-TR"/>
        </w:rPr>
      </w:pPr>
      <w:r>
        <w:rPr>
          <w:color w:val="000000" w:themeColor="text1"/>
          <w:lang w:val="tr-TR"/>
        </w:rPr>
        <w:t xml:space="preserve">Many encapsulation materials can be used for encapsulation </w:t>
      </w:r>
      <w:r w:rsidR="006C7484" w:rsidRPr="006C7484">
        <w:rPr>
          <w:spacing w:val="-3"/>
          <w:szCs w:val="20"/>
        </w:rPr>
        <w:t>[</w:t>
      </w:r>
      <w:r w:rsidR="006C7484">
        <w:rPr>
          <w:spacing w:val="-3"/>
          <w:szCs w:val="20"/>
        </w:rPr>
        <w:t>4</w:t>
      </w:r>
      <w:r w:rsidR="006C7484" w:rsidRPr="006C7484">
        <w:rPr>
          <w:spacing w:val="-3"/>
          <w:szCs w:val="20"/>
        </w:rPr>
        <w:t>]</w:t>
      </w:r>
      <w:r w:rsidR="006C7484">
        <w:rPr>
          <w:spacing w:val="-3"/>
          <w:szCs w:val="20"/>
        </w:rPr>
        <w:t xml:space="preserve">, </w:t>
      </w:r>
      <w:r w:rsidR="006C7484" w:rsidRPr="006C7484">
        <w:rPr>
          <w:spacing w:val="-3"/>
          <w:szCs w:val="20"/>
        </w:rPr>
        <w:t>[</w:t>
      </w:r>
      <w:r w:rsidR="006C7484">
        <w:rPr>
          <w:spacing w:val="-3"/>
          <w:szCs w:val="20"/>
        </w:rPr>
        <w:t>7</w:t>
      </w:r>
      <w:r w:rsidR="006C7484" w:rsidRPr="006C7484">
        <w:rPr>
          <w:spacing w:val="-3"/>
          <w:szCs w:val="20"/>
        </w:rPr>
        <w:t>].</w:t>
      </w:r>
      <w:r w:rsidR="006C7484">
        <w:rPr>
          <w:spacing w:val="-3"/>
          <w:szCs w:val="20"/>
        </w:rPr>
        <w:t xml:space="preserve"> </w:t>
      </w:r>
      <w:r>
        <w:rPr>
          <w:color w:val="000000" w:themeColor="text1"/>
          <w:lang w:val="tr-TR"/>
        </w:rPr>
        <w:t xml:space="preserve">The most commonly used encapsulation materials in the food industry include amylose, amylopectin, starch and its derivatives, maltodextrins, dextrins, cellulose and polydextrin and their derivatives, polysaccharides. In addition, polysaccharides such as alginate, carrageenan, dextran, xanthan, chitosan and gellan are also used. Lipid materials used in food applications are fatty acids, glycerides, waxes (carnauba, candelilla, beeswax), phospholipids and paraffin </w:t>
      </w:r>
      <w:r w:rsidR="006C7484" w:rsidRPr="006C7484">
        <w:rPr>
          <w:spacing w:val="-3"/>
          <w:szCs w:val="20"/>
        </w:rPr>
        <w:t>[</w:t>
      </w:r>
      <w:r w:rsidR="006C7484">
        <w:rPr>
          <w:spacing w:val="-3"/>
          <w:szCs w:val="20"/>
        </w:rPr>
        <w:t>7</w:t>
      </w:r>
      <w:r w:rsidR="006C7484" w:rsidRPr="006C7484">
        <w:rPr>
          <w:spacing w:val="-3"/>
          <w:szCs w:val="20"/>
        </w:rPr>
        <w:t>].</w:t>
      </w:r>
      <w:r w:rsidR="006C7484">
        <w:rPr>
          <w:spacing w:val="-3"/>
          <w:szCs w:val="20"/>
        </w:rPr>
        <w:t xml:space="preserve"> </w:t>
      </w:r>
      <w:r>
        <w:rPr>
          <w:color w:val="000000" w:themeColor="text1"/>
          <w:lang w:val="tr-TR"/>
        </w:rPr>
        <w:t xml:space="preserve">One of </w:t>
      </w:r>
      <w:proofErr w:type="gramStart"/>
      <w:r>
        <w:rPr>
          <w:color w:val="000000" w:themeColor="text1"/>
          <w:lang w:val="tr-TR"/>
        </w:rPr>
        <w:t xml:space="preserve">the </w:t>
      </w:r>
      <w:r w:rsidR="006C7484">
        <w:rPr>
          <w:color w:val="000000" w:themeColor="text1"/>
          <w:lang w:val="tr-TR"/>
        </w:rPr>
        <w:t xml:space="preserve"> </w:t>
      </w:r>
      <w:r>
        <w:rPr>
          <w:color w:val="000000" w:themeColor="text1"/>
          <w:lang w:val="tr-TR"/>
        </w:rPr>
        <w:t>most</w:t>
      </w:r>
      <w:proofErr w:type="gramEnd"/>
      <w:r>
        <w:rPr>
          <w:color w:val="000000" w:themeColor="text1"/>
          <w:lang w:val="tr-TR"/>
        </w:rPr>
        <w:t xml:space="preserve"> widely used biopolymers for drug and food delivery applications is gelatin </w:t>
      </w:r>
      <w:r w:rsidR="006C7484" w:rsidRPr="006C7484">
        <w:rPr>
          <w:spacing w:val="-3"/>
          <w:szCs w:val="20"/>
        </w:rPr>
        <w:t>[</w:t>
      </w:r>
      <w:r w:rsidR="006C7484">
        <w:rPr>
          <w:spacing w:val="-3"/>
          <w:szCs w:val="20"/>
        </w:rPr>
        <w:t>8</w:t>
      </w:r>
      <w:r w:rsidR="006C7484" w:rsidRPr="006C7484">
        <w:rPr>
          <w:spacing w:val="-3"/>
          <w:szCs w:val="20"/>
        </w:rPr>
        <w:t>].</w:t>
      </w:r>
      <w:r w:rsidR="006C7484">
        <w:rPr>
          <w:spacing w:val="-3"/>
          <w:szCs w:val="20"/>
        </w:rPr>
        <w:t xml:space="preserve"> </w:t>
      </w:r>
      <w:r>
        <w:rPr>
          <w:color w:val="000000" w:themeColor="text1"/>
          <w:lang w:val="tr-TR"/>
        </w:rPr>
        <w:t xml:space="preserve"> It is a </w:t>
      </w:r>
      <w:r w:rsidRPr="00C80B7D">
        <w:rPr>
          <w:color w:val="000000" w:themeColor="text1"/>
          <w:lang w:val="tr-TR"/>
        </w:rPr>
        <w:t xml:space="preserve">good candidate for use in food systems due to its biodegradability, biocompatibility, easy modification and low cost </w:t>
      </w:r>
      <w:r w:rsidR="006C7484" w:rsidRPr="006C7484">
        <w:rPr>
          <w:spacing w:val="-3"/>
          <w:szCs w:val="20"/>
        </w:rPr>
        <w:t>[</w:t>
      </w:r>
      <w:r w:rsidR="006C7484">
        <w:rPr>
          <w:spacing w:val="-3"/>
          <w:szCs w:val="20"/>
        </w:rPr>
        <w:t>9</w:t>
      </w:r>
      <w:r w:rsidR="006C7484" w:rsidRPr="006C7484">
        <w:rPr>
          <w:spacing w:val="-3"/>
          <w:szCs w:val="20"/>
        </w:rPr>
        <w:t>].</w:t>
      </w:r>
      <w:r w:rsidR="006C7484">
        <w:rPr>
          <w:spacing w:val="-3"/>
          <w:szCs w:val="20"/>
        </w:rPr>
        <w:t xml:space="preserve"> </w:t>
      </w:r>
      <w:r w:rsidRPr="00C80B7D">
        <w:rPr>
          <w:color w:val="000000" w:themeColor="text1"/>
          <w:lang w:val="tr-TR"/>
        </w:rPr>
        <w:t xml:space="preserve">High value-added food products can be produced in the food industry with nanoencapsulation technology </w:t>
      </w:r>
      <w:r w:rsidR="006C7484" w:rsidRPr="006C7484">
        <w:rPr>
          <w:spacing w:val="-3"/>
          <w:szCs w:val="20"/>
        </w:rPr>
        <w:t>[</w:t>
      </w:r>
      <w:r w:rsidR="006C7484">
        <w:rPr>
          <w:spacing w:val="-3"/>
          <w:szCs w:val="20"/>
        </w:rPr>
        <w:t>10</w:t>
      </w:r>
      <w:r w:rsidR="006C7484" w:rsidRPr="006C7484">
        <w:rPr>
          <w:spacing w:val="-3"/>
          <w:szCs w:val="20"/>
        </w:rPr>
        <w:t>].</w:t>
      </w:r>
    </w:p>
    <w:p w14:paraId="2FE82A0B" w14:textId="0A704812" w:rsidR="00701DB2" w:rsidRPr="00C80B7D" w:rsidRDefault="00701DB2" w:rsidP="000E13B7">
      <w:pPr>
        <w:spacing w:before="240" w:after="240"/>
        <w:ind w:firstLine="284"/>
        <w:jc w:val="both"/>
        <w:rPr>
          <w:color w:val="000000" w:themeColor="text1"/>
        </w:rPr>
      </w:pPr>
      <w:r w:rsidRPr="00C80B7D">
        <w:rPr>
          <w:color w:val="000000" w:themeColor="text1"/>
          <w:lang w:val="tr-TR"/>
        </w:rPr>
        <w:t xml:space="preserve">Microgreens produced from the seeds of many crops such as legumes, cereals, pseudo-cereals, vegetables, plants and oilseeds have an increasing popularity due to their strong </w:t>
      </w:r>
      <w:proofErr w:type="gramStart"/>
      <w:r w:rsidRPr="00C80B7D">
        <w:rPr>
          <w:color w:val="000000" w:themeColor="text1"/>
          <w:lang w:val="tr-TR"/>
        </w:rPr>
        <w:t>aroma</w:t>
      </w:r>
      <w:proofErr w:type="gramEnd"/>
      <w:r w:rsidRPr="00C80B7D">
        <w:rPr>
          <w:color w:val="000000" w:themeColor="text1"/>
          <w:lang w:val="tr-TR"/>
        </w:rPr>
        <w:t xml:space="preserve"> and high vitamin, mineral and phytochemical contents </w:t>
      </w:r>
      <w:r w:rsidR="006C7484" w:rsidRPr="006C7484">
        <w:rPr>
          <w:spacing w:val="-3"/>
          <w:szCs w:val="20"/>
        </w:rPr>
        <w:t>[</w:t>
      </w:r>
      <w:r w:rsidR="006C7484">
        <w:rPr>
          <w:spacing w:val="-3"/>
          <w:szCs w:val="20"/>
        </w:rPr>
        <w:t>11</w:t>
      </w:r>
      <w:r w:rsidR="006C7484" w:rsidRPr="006C7484">
        <w:rPr>
          <w:spacing w:val="-3"/>
          <w:szCs w:val="20"/>
        </w:rPr>
        <w:t>]</w:t>
      </w:r>
      <w:r w:rsidR="006C7484">
        <w:rPr>
          <w:spacing w:val="-3"/>
          <w:szCs w:val="20"/>
        </w:rPr>
        <w:t>,</w:t>
      </w:r>
      <w:r w:rsidR="006C7484" w:rsidRPr="006C7484">
        <w:rPr>
          <w:spacing w:val="-3"/>
          <w:szCs w:val="20"/>
        </w:rPr>
        <w:t xml:space="preserve"> </w:t>
      </w:r>
      <w:r w:rsidR="006C7484" w:rsidRPr="006C7484">
        <w:rPr>
          <w:spacing w:val="-3"/>
          <w:szCs w:val="20"/>
        </w:rPr>
        <w:t>[</w:t>
      </w:r>
      <w:r w:rsidR="006C7484">
        <w:rPr>
          <w:spacing w:val="-3"/>
          <w:szCs w:val="20"/>
        </w:rPr>
        <w:t>12</w:t>
      </w:r>
      <w:r w:rsidR="006C7484" w:rsidRPr="006C7484">
        <w:rPr>
          <w:spacing w:val="-3"/>
          <w:szCs w:val="20"/>
        </w:rPr>
        <w:t>].</w:t>
      </w:r>
      <w:r w:rsidR="006C7484">
        <w:rPr>
          <w:spacing w:val="-3"/>
          <w:szCs w:val="20"/>
        </w:rPr>
        <w:t xml:space="preserve"> </w:t>
      </w:r>
      <w:r w:rsidRPr="00C80B7D">
        <w:rPr>
          <w:color w:val="000000" w:themeColor="text1"/>
          <w:lang w:val="tr-TR"/>
        </w:rPr>
        <w:t xml:space="preserve">Amaranth microgreens also contain compounds with high antioxidant and radical scavenging properties such as phenolic compounds, flavonoids, tocopherols and betalain. It is suggested that its overall eating quality is high compared to many different microgreens </w:t>
      </w:r>
      <w:r w:rsidR="006C7484" w:rsidRPr="006C7484">
        <w:rPr>
          <w:spacing w:val="-3"/>
          <w:szCs w:val="20"/>
        </w:rPr>
        <w:t>[</w:t>
      </w:r>
      <w:r w:rsidR="006C7484">
        <w:rPr>
          <w:spacing w:val="-3"/>
          <w:szCs w:val="20"/>
        </w:rPr>
        <w:t>13</w:t>
      </w:r>
      <w:r w:rsidR="006C7484" w:rsidRPr="006C7484">
        <w:rPr>
          <w:spacing w:val="-3"/>
          <w:szCs w:val="20"/>
        </w:rPr>
        <w:t>].</w:t>
      </w:r>
      <w:r w:rsidR="006C7484">
        <w:rPr>
          <w:spacing w:val="-3"/>
          <w:szCs w:val="20"/>
        </w:rPr>
        <w:t xml:space="preserve"> </w:t>
      </w:r>
      <w:r w:rsidRPr="00C80B7D">
        <w:rPr>
          <w:color w:val="000000" w:themeColor="text1"/>
          <w:lang w:val="tr-TR"/>
        </w:rPr>
        <w:t xml:space="preserve">As a fermented dairy product, yogurt is an excellent source of protein, calcium, phosphorus, magnesium, zinc, riboflavin, niacin, folate and vitamin B12. On the other hand, since fermented dairy products are among the most consumed foods in the world, it is reported that fortification of fermented dairy products such as yogurt is a good way to improve the intake of nutrients in daily nutrition </w:t>
      </w:r>
      <w:r w:rsidR="006C7484" w:rsidRPr="006C7484">
        <w:rPr>
          <w:spacing w:val="-3"/>
          <w:szCs w:val="20"/>
        </w:rPr>
        <w:t>[</w:t>
      </w:r>
      <w:r w:rsidR="006C7484">
        <w:rPr>
          <w:spacing w:val="-3"/>
          <w:szCs w:val="20"/>
        </w:rPr>
        <w:t>14</w:t>
      </w:r>
      <w:r w:rsidR="006C7484" w:rsidRPr="006C7484">
        <w:rPr>
          <w:spacing w:val="-3"/>
          <w:szCs w:val="20"/>
        </w:rPr>
        <w:t>].</w:t>
      </w:r>
    </w:p>
    <w:p w14:paraId="78A1C162" w14:textId="77777777" w:rsidR="00701DB2" w:rsidRDefault="00701DB2" w:rsidP="000E13B7">
      <w:pPr>
        <w:spacing w:before="240" w:after="240"/>
        <w:ind w:firstLine="360"/>
        <w:jc w:val="both"/>
        <w:rPr>
          <w:color w:val="000000" w:themeColor="text1"/>
          <w:lang w:val="tr-TR"/>
        </w:rPr>
      </w:pPr>
      <w:r w:rsidRPr="00C80B7D">
        <w:rPr>
          <w:color w:val="000000" w:themeColor="text1"/>
          <w:lang w:val="tr-TR"/>
        </w:rPr>
        <w:t>In this study, the physicochemical, microbiological and biochemical properties of yogurt enriched with encapsulated amaranth microgreens extract were investigated.</w:t>
      </w:r>
    </w:p>
    <w:p w14:paraId="3DFBAF5C" w14:textId="77777777" w:rsidR="000E13B7" w:rsidRPr="00C80B7D" w:rsidRDefault="000E13B7" w:rsidP="000E13B7">
      <w:pPr>
        <w:spacing w:before="240" w:after="240"/>
        <w:ind w:firstLine="360"/>
        <w:jc w:val="both"/>
        <w:rPr>
          <w:color w:val="000000" w:themeColor="text1"/>
        </w:rPr>
      </w:pPr>
      <w:bookmarkStart w:id="0" w:name="_GoBack"/>
      <w:bookmarkEnd w:id="0"/>
    </w:p>
    <w:p w14:paraId="2EDF6F72" w14:textId="63EDCE4F" w:rsidR="00E52410" w:rsidRPr="00C80B7D" w:rsidRDefault="00E52410" w:rsidP="000E13B7">
      <w:pPr>
        <w:pStyle w:val="ListeParagraf"/>
        <w:autoSpaceDE w:val="0"/>
        <w:autoSpaceDN w:val="0"/>
        <w:adjustRightInd w:val="0"/>
        <w:spacing w:before="240" w:after="240"/>
        <w:ind w:left="426" w:right="-59" w:firstLine="0"/>
        <w:rPr>
          <w:color w:val="000000" w:themeColor="text1"/>
          <w:sz w:val="24"/>
        </w:rPr>
      </w:pPr>
      <w:r w:rsidRPr="00C80B7D">
        <w:rPr>
          <w:b/>
          <w:bCs/>
          <w:color w:val="000000" w:themeColor="text1"/>
          <w:sz w:val="24"/>
        </w:rPr>
        <w:lastRenderedPageBreak/>
        <w:t xml:space="preserve"> </w:t>
      </w:r>
    </w:p>
    <w:p w14:paraId="2643316B" w14:textId="77777777" w:rsidR="008C3B05" w:rsidRPr="00C80B7D" w:rsidRDefault="00F46B4C" w:rsidP="000E13B7">
      <w:pPr>
        <w:pStyle w:val="ListeParagraf"/>
        <w:numPr>
          <w:ilvl w:val="0"/>
          <w:numId w:val="12"/>
        </w:numPr>
        <w:autoSpaceDE w:val="0"/>
        <w:autoSpaceDN w:val="0"/>
        <w:adjustRightInd w:val="0"/>
        <w:spacing w:before="240" w:after="240" w:line="276" w:lineRule="auto"/>
        <w:rPr>
          <w:b/>
          <w:color w:val="000000" w:themeColor="text1"/>
          <w:sz w:val="24"/>
          <w:lang w:val="en-GB"/>
        </w:rPr>
      </w:pPr>
      <w:r w:rsidRPr="00C80B7D">
        <w:rPr>
          <w:b/>
          <w:color w:val="000000" w:themeColor="text1"/>
          <w:sz w:val="24"/>
        </w:rPr>
        <w:t>MATERIALS AND METHODS</w:t>
      </w:r>
    </w:p>
    <w:p w14:paraId="4CC327E1" w14:textId="7ACB9615" w:rsidR="00E52410" w:rsidRPr="00C80B7D" w:rsidRDefault="00F46B4C" w:rsidP="000E13B7">
      <w:pPr>
        <w:pStyle w:val="ListeParagraf"/>
        <w:autoSpaceDE w:val="0"/>
        <w:autoSpaceDN w:val="0"/>
        <w:adjustRightInd w:val="0"/>
        <w:spacing w:before="240" w:after="240" w:line="276" w:lineRule="auto"/>
        <w:ind w:left="360" w:firstLine="0"/>
        <w:rPr>
          <w:b/>
          <w:color w:val="000000" w:themeColor="text1"/>
          <w:sz w:val="24"/>
          <w:lang w:val="en-GB"/>
        </w:rPr>
      </w:pPr>
      <w:r w:rsidRPr="00C80B7D">
        <w:rPr>
          <w:b/>
          <w:color w:val="000000" w:themeColor="text1"/>
          <w:sz w:val="24"/>
        </w:rPr>
        <w:t xml:space="preserve"> </w:t>
      </w:r>
    </w:p>
    <w:p w14:paraId="22DEC1F9" w14:textId="0224B401" w:rsidR="008C3B05" w:rsidRPr="00C80B7D" w:rsidRDefault="00D901F4" w:rsidP="000E13B7">
      <w:pPr>
        <w:pStyle w:val="ListeParagraf"/>
        <w:numPr>
          <w:ilvl w:val="1"/>
          <w:numId w:val="12"/>
        </w:numPr>
        <w:spacing w:before="240" w:after="240"/>
        <w:rPr>
          <w:b/>
          <w:iCs/>
          <w:color w:val="000000" w:themeColor="text1"/>
          <w:sz w:val="24"/>
        </w:rPr>
      </w:pPr>
      <w:r w:rsidRPr="00C80B7D">
        <w:rPr>
          <w:b/>
          <w:iCs/>
          <w:color w:val="000000" w:themeColor="text1"/>
          <w:sz w:val="24"/>
        </w:rPr>
        <w:t>Production and extraction of Amaranth Microgreens</w:t>
      </w:r>
    </w:p>
    <w:p w14:paraId="2184E3D2" w14:textId="77777777" w:rsidR="008C3B05" w:rsidRPr="00C80B7D" w:rsidRDefault="008C3B05" w:rsidP="000E13B7">
      <w:pPr>
        <w:pStyle w:val="ListeParagraf"/>
        <w:spacing w:before="240" w:after="240"/>
        <w:ind w:left="1000" w:firstLine="0"/>
        <w:rPr>
          <w:b/>
          <w:iCs/>
          <w:color w:val="000000" w:themeColor="text1"/>
          <w:sz w:val="24"/>
        </w:rPr>
      </w:pPr>
    </w:p>
    <w:p w14:paraId="558EEFC5" w14:textId="56C43FF4" w:rsidR="00D901F4" w:rsidRPr="00C80B7D" w:rsidRDefault="00D901F4" w:rsidP="000E13B7">
      <w:pPr>
        <w:spacing w:before="240" w:after="240"/>
        <w:ind w:firstLine="284"/>
        <w:jc w:val="both"/>
        <w:rPr>
          <w:color w:val="000000" w:themeColor="text1"/>
        </w:rPr>
      </w:pPr>
      <w:r w:rsidRPr="00C80B7D">
        <w:rPr>
          <w:color w:val="000000" w:themeColor="text1"/>
        </w:rPr>
        <w:t xml:space="preserve">Amaranth microgreens seeds were planted in a suitable container in a fertile </w:t>
      </w:r>
      <w:proofErr w:type="gramStart"/>
      <w:r w:rsidRPr="00C80B7D">
        <w:rPr>
          <w:color w:val="000000" w:themeColor="text1"/>
        </w:rPr>
        <w:t>soil,</w:t>
      </w:r>
      <w:proofErr w:type="gramEnd"/>
      <w:r w:rsidRPr="00C80B7D">
        <w:rPr>
          <w:color w:val="000000" w:themeColor="text1"/>
        </w:rPr>
        <w:t xml:space="preserve"> moistened with water and then left to germinate for 1-2 days by covering in the dark. Then, 25 g were weighed and distilled water was added and blended and the mixture was mixed with a magnetic stirrer at 500 rpm for 24 hours. Afterwards, microgreens extraction was obtained by filtering with filter paper.</w:t>
      </w:r>
    </w:p>
    <w:p w14:paraId="6ED0227D" w14:textId="77777777" w:rsidR="008C3B05" w:rsidRDefault="008C3B05" w:rsidP="000E13B7">
      <w:pPr>
        <w:spacing w:before="240" w:after="240"/>
        <w:ind w:firstLine="284"/>
        <w:rPr>
          <w:color w:val="000000" w:themeColor="text1"/>
        </w:rPr>
      </w:pPr>
    </w:p>
    <w:p w14:paraId="45283221" w14:textId="50ECFFC4" w:rsidR="000E13B7" w:rsidRDefault="000E13B7" w:rsidP="000E13B7">
      <w:pPr>
        <w:spacing w:before="240" w:after="240"/>
        <w:ind w:firstLine="284"/>
        <w:rPr>
          <w:color w:val="000000" w:themeColor="text1"/>
        </w:rPr>
      </w:pPr>
      <w:r>
        <w:rPr>
          <w:noProof/>
          <w:lang w:val="tr-TR" w:eastAsia="tr-TR"/>
        </w:rPr>
        <w:drawing>
          <wp:inline distT="0" distB="0" distL="0" distR="0" wp14:anchorId="032A0FA9" wp14:editId="7B88AB7F">
            <wp:extent cx="4140679" cy="1518249"/>
            <wp:effectExtent l="0" t="0" r="0" b="635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9259" cy="1517728"/>
                    </a:xfrm>
                    <a:prstGeom prst="rect">
                      <a:avLst/>
                    </a:prstGeom>
                    <a:noFill/>
                    <a:ln>
                      <a:noFill/>
                    </a:ln>
                  </pic:spPr>
                </pic:pic>
              </a:graphicData>
            </a:graphic>
          </wp:inline>
        </w:drawing>
      </w:r>
    </w:p>
    <w:p w14:paraId="3217F3BB" w14:textId="589A7F63" w:rsidR="000E13B7" w:rsidRDefault="000E13B7" w:rsidP="000E13B7">
      <w:pPr>
        <w:spacing w:before="240" w:after="240"/>
        <w:ind w:firstLine="284"/>
        <w:rPr>
          <w:color w:val="000000" w:themeColor="text1"/>
          <w:sz w:val="20"/>
        </w:rPr>
      </w:pPr>
      <w:proofErr w:type="gramStart"/>
      <w:r w:rsidRPr="000E13B7">
        <w:rPr>
          <w:color w:val="000000" w:themeColor="text1"/>
          <w:sz w:val="20"/>
        </w:rPr>
        <w:t>Figure 1.</w:t>
      </w:r>
      <w:proofErr w:type="gramEnd"/>
      <w:r w:rsidRPr="000E13B7">
        <w:rPr>
          <w:color w:val="000000" w:themeColor="text1"/>
          <w:sz w:val="20"/>
        </w:rPr>
        <w:t xml:space="preserve"> Amaranth microgreens</w:t>
      </w:r>
    </w:p>
    <w:p w14:paraId="3A15E310" w14:textId="77777777" w:rsidR="000E13B7" w:rsidRPr="00C80B7D" w:rsidRDefault="000E13B7" w:rsidP="000E13B7">
      <w:pPr>
        <w:spacing w:before="240" w:after="240"/>
        <w:ind w:firstLine="284"/>
        <w:rPr>
          <w:color w:val="000000" w:themeColor="text1"/>
        </w:rPr>
      </w:pPr>
    </w:p>
    <w:p w14:paraId="1A0CD4BD" w14:textId="48A12197" w:rsidR="008C3B05" w:rsidRPr="00C80B7D" w:rsidRDefault="00C80B7D" w:rsidP="000E13B7">
      <w:pPr>
        <w:pStyle w:val="ListeParagraf"/>
        <w:numPr>
          <w:ilvl w:val="1"/>
          <w:numId w:val="15"/>
        </w:numPr>
        <w:spacing w:before="240" w:after="240"/>
        <w:rPr>
          <w:b/>
          <w:iCs/>
          <w:color w:val="000000" w:themeColor="text1"/>
          <w:sz w:val="24"/>
        </w:rPr>
      </w:pPr>
      <w:r>
        <w:rPr>
          <w:b/>
          <w:iCs/>
          <w:color w:val="000000" w:themeColor="text1"/>
          <w:sz w:val="24"/>
        </w:rPr>
        <w:t xml:space="preserve"> </w:t>
      </w:r>
      <w:r w:rsidR="008C3B05" w:rsidRPr="00C80B7D">
        <w:rPr>
          <w:b/>
          <w:iCs/>
          <w:color w:val="000000" w:themeColor="text1"/>
          <w:sz w:val="24"/>
        </w:rPr>
        <w:t>Preparation of Nanocapsules</w:t>
      </w:r>
    </w:p>
    <w:p w14:paraId="6F499704" w14:textId="77777777" w:rsidR="008C3B05" w:rsidRPr="00C80B7D" w:rsidRDefault="008C3B05" w:rsidP="000E13B7">
      <w:pPr>
        <w:pStyle w:val="ListeParagraf"/>
        <w:spacing w:before="240" w:after="240"/>
        <w:ind w:left="360" w:firstLine="0"/>
        <w:rPr>
          <w:b/>
          <w:iCs/>
          <w:color w:val="000000" w:themeColor="text1"/>
          <w:sz w:val="24"/>
        </w:rPr>
      </w:pPr>
    </w:p>
    <w:p w14:paraId="679142F6" w14:textId="794A050A" w:rsidR="00D901F4" w:rsidRPr="00C80B7D" w:rsidRDefault="00D901F4" w:rsidP="000E13B7">
      <w:pPr>
        <w:spacing w:before="240" w:after="240"/>
        <w:ind w:firstLine="360"/>
        <w:rPr>
          <w:color w:val="000000" w:themeColor="text1"/>
        </w:rPr>
      </w:pPr>
      <w:r w:rsidRPr="00C80B7D">
        <w:rPr>
          <w:i/>
          <w:iCs/>
          <w:color w:val="000000" w:themeColor="text1"/>
        </w:rPr>
        <w:t xml:space="preserve"> </w:t>
      </w:r>
      <w:r w:rsidRPr="00C80B7D">
        <w:rPr>
          <w:color w:val="000000" w:themeColor="text1"/>
        </w:rPr>
        <w:t>Amaranth microgreens extract was encapsulated by complex coacervation method using bovine gelatin and gum Arabic. Characterization of capsule samples prepared with amaranth microgreens extract was performed by FTIR analysis and XRD measurements.</w:t>
      </w:r>
    </w:p>
    <w:p w14:paraId="75336A2A" w14:textId="77777777" w:rsidR="008C3B05" w:rsidRPr="00C80B7D" w:rsidRDefault="008C3B05" w:rsidP="000E13B7">
      <w:pPr>
        <w:spacing w:before="240" w:after="240"/>
        <w:ind w:firstLine="360"/>
        <w:rPr>
          <w:i/>
          <w:iCs/>
          <w:color w:val="000000" w:themeColor="text1"/>
        </w:rPr>
      </w:pPr>
    </w:p>
    <w:p w14:paraId="7A573041" w14:textId="423DC4B8" w:rsidR="008C3B05" w:rsidRPr="00C80B7D" w:rsidRDefault="00C80B7D" w:rsidP="000E13B7">
      <w:pPr>
        <w:pStyle w:val="ListeParagraf"/>
        <w:numPr>
          <w:ilvl w:val="1"/>
          <w:numId w:val="15"/>
        </w:numPr>
        <w:spacing w:before="240" w:after="240"/>
        <w:rPr>
          <w:b/>
          <w:iCs/>
          <w:color w:val="000000" w:themeColor="text1"/>
          <w:sz w:val="24"/>
        </w:rPr>
      </w:pPr>
      <w:r w:rsidRPr="00C80B7D">
        <w:rPr>
          <w:b/>
          <w:iCs/>
          <w:color w:val="000000" w:themeColor="text1"/>
          <w:sz w:val="24"/>
        </w:rPr>
        <w:t xml:space="preserve"> </w:t>
      </w:r>
      <w:r w:rsidR="00D901F4" w:rsidRPr="00C80B7D">
        <w:rPr>
          <w:b/>
          <w:iCs/>
          <w:color w:val="000000" w:themeColor="text1"/>
          <w:sz w:val="24"/>
        </w:rPr>
        <w:t>Preparation of Yogurt Samples</w:t>
      </w:r>
    </w:p>
    <w:p w14:paraId="7851776F" w14:textId="77777777" w:rsidR="00C80B7D" w:rsidRPr="00C80B7D" w:rsidRDefault="00C80B7D" w:rsidP="000E13B7">
      <w:pPr>
        <w:spacing w:before="240" w:after="240"/>
        <w:rPr>
          <w:color w:val="000000" w:themeColor="text1"/>
          <w:lang w:val="tr-TR"/>
        </w:rPr>
      </w:pPr>
    </w:p>
    <w:p w14:paraId="685FE76A" w14:textId="2F1CEC14" w:rsidR="00C80B7D" w:rsidRPr="00C80B7D" w:rsidRDefault="00D901F4" w:rsidP="000E13B7">
      <w:pPr>
        <w:spacing w:before="240" w:after="240"/>
        <w:jc w:val="both"/>
        <w:rPr>
          <w:color w:val="000000" w:themeColor="text1"/>
        </w:rPr>
      </w:pPr>
      <w:r w:rsidRPr="00C80B7D">
        <w:rPr>
          <w:i/>
          <w:iCs/>
          <w:color w:val="000000" w:themeColor="text1"/>
        </w:rPr>
        <w:t xml:space="preserve"> </w:t>
      </w:r>
      <w:r w:rsidRPr="00C80B7D">
        <w:rPr>
          <w:color w:val="000000" w:themeColor="text1"/>
        </w:rPr>
        <w:t>Boxed milks containing 1.5% milk fat were heated to 90°C and cooled to 45°C for incubation. Probiotic-containing lyophilized yogurt starter culture was added to 300 mL of milk at 45°C to activate it. Then, this mixture was added to milk cooled to 45°C, mixed, and filled into 150 mL sterile jars and incubated at 45°C for fermentation. After incubation, yogurt samples were cooled to 4°C and stored overnight. One group was separated as control yogurt and the other two groups were mixed with capsules at 0.1% and 0.5%. Samples were stored at 4°C for analyses to be performed in weeks 1, 2, 3 and 4.</w:t>
      </w:r>
    </w:p>
    <w:p w14:paraId="2F8D63B2" w14:textId="039987FF" w:rsidR="008C3B05" w:rsidRPr="000E13B7" w:rsidRDefault="008C3B05" w:rsidP="000E13B7">
      <w:pPr>
        <w:spacing w:before="240" w:after="240"/>
        <w:rPr>
          <w:i/>
          <w:iCs/>
          <w:color w:val="000000" w:themeColor="text1"/>
        </w:rPr>
      </w:pPr>
      <w:r w:rsidRPr="00C80B7D">
        <w:rPr>
          <w:b/>
          <w:iCs/>
          <w:color w:val="000000" w:themeColor="text1"/>
        </w:rPr>
        <w:t>2.</w:t>
      </w:r>
      <w:r w:rsidR="00C80B7D" w:rsidRPr="00C80B7D">
        <w:rPr>
          <w:b/>
          <w:iCs/>
          <w:color w:val="000000" w:themeColor="text1"/>
        </w:rPr>
        <w:t>4</w:t>
      </w:r>
      <w:r w:rsidRPr="00C80B7D">
        <w:rPr>
          <w:b/>
          <w:iCs/>
          <w:color w:val="000000" w:themeColor="text1"/>
        </w:rPr>
        <w:t xml:space="preserve"> </w:t>
      </w:r>
      <w:r w:rsidR="00D901F4" w:rsidRPr="00C80B7D">
        <w:rPr>
          <w:b/>
          <w:iCs/>
          <w:color w:val="000000" w:themeColor="text1"/>
        </w:rPr>
        <w:t>Antioxidant Activity Analyses</w:t>
      </w:r>
      <w:r w:rsidR="00D901F4" w:rsidRPr="00C80B7D">
        <w:rPr>
          <w:i/>
          <w:iCs/>
          <w:color w:val="000000" w:themeColor="text1"/>
        </w:rPr>
        <w:t xml:space="preserve"> </w:t>
      </w:r>
    </w:p>
    <w:p w14:paraId="361FC889" w14:textId="3402F51D" w:rsidR="008C3B05" w:rsidRPr="00C80B7D" w:rsidRDefault="00D901F4" w:rsidP="000E13B7">
      <w:pPr>
        <w:spacing w:before="240" w:after="240"/>
        <w:ind w:firstLine="360"/>
        <w:rPr>
          <w:color w:val="000000" w:themeColor="text1"/>
        </w:rPr>
      </w:pPr>
      <w:r w:rsidRPr="00C80B7D">
        <w:rPr>
          <w:color w:val="000000" w:themeColor="text1"/>
        </w:rPr>
        <w:lastRenderedPageBreak/>
        <w:t>Antioxidant activity in yogurt samples was determined using KUPRAK determination, iron (Fe3+) ion reducing antioxidant power (FRAP) determination and DPPH● free radical scavenging activity determination methods.</w:t>
      </w:r>
    </w:p>
    <w:p w14:paraId="7C5D12D2" w14:textId="214E7D58" w:rsidR="008C3B05" w:rsidRPr="000E13B7" w:rsidRDefault="00C80B7D" w:rsidP="000E13B7">
      <w:pPr>
        <w:pStyle w:val="ListeParagraf"/>
        <w:numPr>
          <w:ilvl w:val="1"/>
          <w:numId w:val="16"/>
        </w:numPr>
        <w:spacing w:before="240" w:after="240"/>
        <w:rPr>
          <w:b/>
          <w:iCs/>
          <w:color w:val="000000" w:themeColor="text1"/>
          <w:sz w:val="24"/>
        </w:rPr>
      </w:pPr>
      <w:r w:rsidRPr="00C80B7D">
        <w:rPr>
          <w:b/>
          <w:iCs/>
          <w:color w:val="000000" w:themeColor="text1"/>
          <w:sz w:val="24"/>
        </w:rPr>
        <w:t xml:space="preserve"> </w:t>
      </w:r>
      <w:r w:rsidR="00D901F4" w:rsidRPr="00C80B7D">
        <w:rPr>
          <w:b/>
          <w:iCs/>
          <w:color w:val="000000" w:themeColor="text1"/>
          <w:sz w:val="24"/>
        </w:rPr>
        <w:t>Microbiological analyses</w:t>
      </w:r>
    </w:p>
    <w:p w14:paraId="40132199" w14:textId="5B2B4D1E" w:rsidR="00C80B7D" w:rsidRPr="000E13B7" w:rsidRDefault="00D901F4" w:rsidP="000E13B7">
      <w:pPr>
        <w:spacing w:before="240" w:after="240"/>
        <w:ind w:firstLine="360"/>
        <w:rPr>
          <w:color w:val="000000" w:themeColor="text1"/>
        </w:rPr>
      </w:pPr>
      <w:r w:rsidRPr="00C80B7D">
        <w:rPr>
          <w:i/>
          <w:iCs/>
          <w:color w:val="000000" w:themeColor="text1"/>
        </w:rPr>
        <w:t xml:space="preserve"> </w:t>
      </w:r>
      <w:r w:rsidRPr="00C80B7D">
        <w:rPr>
          <w:color w:val="000000" w:themeColor="text1"/>
        </w:rPr>
        <w:t>Antimicrobial analysis of yogurt samples was performed on Mueller Hinton Agar (MHA) plates using the agar well diffusion method.</w:t>
      </w:r>
    </w:p>
    <w:p w14:paraId="50A2E173" w14:textId="241EE0C5" w:rsidR="00C80B7D" w:rsidRPr="000E13B7" w:rsidRDefault="00C80B7D" w:rsidP="000E13B7">
      <w:pPr>
        <w:pStyle w:val="ListeParagraf"/>
        <w:numPr>
          <w:ilvl w:val="1"/>
          <w:numId w:val="16"/>
        </w:numPr>
        <w:spacing w:before="240" w:after="240"/>
        <w:rPr>
          <w:b/>
          <w:bCs/>
          <w:color w:val="000000" w:themeColor="text1"/>
          <w:sz w:val="24"/>
        </w:rPr>
      </w:pPr>
      <w:r w:rsidRPr="00C80B7D">
        <w:rPr>
          <w:b/>
          <w:bCs/>
          <w:color w:val="000000" w:themeColor="text1"/>
          <w:sz w:val="24"/>
        </w:rPr>
        <w:t xml:space="preserve"> </w:t>
      </w:r>
      <w:r w:rsidR="00D901F4" w:rsidRPr="00C80B7D">
        <w:rPr>
          <w:b/>
          <w:bCs/>
          <w:color w:val="000000" w:themeColor="text1"/>
          <w:sz w:val="24"/>
        </w:rPr>
        <w:t>Sensory Analyses</w:t>
      </w:r>
    </w:p>
    <w:p w14:paraId="13003A28" w14:textId="546C0FB1" w:rsidR="00D901F4" w:rsidRPr="00C80B7D" w:rsidRDefault="00D901F4" w:rsidP="000E13B7">
      <w:pPr>
        <w:spacing w:before="240" w:after="240"/>
        <w:rPr>
          <w:color w:val="000000" w:themeColor="text1"/>
        </w:rPr>
      </w:pPr>
      <w:r w:rsidRPr="00C80B7D">
        <w:rPr>
          <w:bCs/>
          <w:i/>
          <w:color w:val="000000" w:themeColor="text1"/>
        </w:rPr>
        <w:t xml:space="preserve"> </w:t>
      </w:r>
      <w:r w:rsidRPr="00C80B7D">
        <w:rPr>
          <w:color w:val="000000" w:themeColor="text1"/>
        </w:rPr>
        <w:t>Yoghurt samples were prepared as 3 samples. Prepared yogurt samples were presented to the panelists in PET cups as coded.</w:t>
      </w:r>
    </w:p>
    <w:p w14:paraId="0AC3C19D" w14:textId="0CEBFA66" w:rsidR="00D901F4" w:rsidRPr="00C80B7D" w:rsidRDefault="00D901F4" w:rsidP="000E13B7">
      <w:pPr>
        <w:pStyle w:val="ListeParagraf"/>
        <w:spacing w:before="240" w:after="240"/>
        <w:ind w:left="360" w:firstLine="0"/>
        <w:rPr>
          <w:color w:val="000000" w:themeColor="text1"/>
          <w:sz w:val="24"/>
        </w:rPr>
      </w:pPr>
      <w:r w:rsidRPr="00C80B7D">
        <w:rPr>
          <w:color w:val="000000" w:themeColor="text1"/>
          <w:sz w:val="24"/>
        </w:rPr>
        <w:t xml:space="preserve">K: Control yoğurt </w:t>
      </w:r>
    </w:p>
    <w:p w14:paraId="12E7568A" w14:textId="77777777" w:rsidR="00D901F4" w:rsidRPr="00C80B7D" w:rsidRDefault="00D901F4" w:rsidP="000E13B7">
      <w:pPr>
        <w:pStyle w:val="ListeParagraf"/>
        <w:spacing w:before="240" w:after="240"/>
        <w:ind w:left="360" w:firstLine="0"/>
        <w:rPr>
          <w:color w:val="000000" w:themeColor="text1"/>
          <w:sz w:val="24"/>
        </w:rPr>
      </w:pPr>
      <w:r w:rsidRPr="00C80B7D">
        <w:rPr>
          <w:color w:val="000000" w:themeColor="text1"/>
          <w:sz w:val="24"/>
        </w:rPr>
        <w:t xml:space="preserve">Sample 1: Sample mixed with </w:t>
      </w:r>
      <w:proofErr w:type="gramStart"/>
      <w:r w:rsidRPr="00C80B7D">
        <w:rPr>
          <w:color w:val="000000" w:themeColor="text1"/>
          <w:sz w:val="24"/>
        </w:rPr>
        <w:t>0.5</w:t>
      </w:r>
      <w:proofErr w:type="gramEnd"/>
      <w:r w:rsidRPr="00C80B7D">
        <w:rPr>
          <w:color w:val="000000" w:themeColor="text1"/>
          <w:sz w:val="24"/>
        </w:rPr>
        <w:t>% capsules</w:t>
      </w:r>
    </w:p>
    <w:p w14:paraId="4FEFAFF1" w14:textId="77777777" w:rsidR="00D901F4" w:rsidRPr="00C80B7D" w:rsidRDefault="00D901F4" w:rsidP="000E13B7">
      <w:pPr>
        <w:pStyle w:val="ListeParagraf"/>
        <w:spacing w:before="240" w:after="240"/>
        <w:ind w:left="360" w:firstLine="0"/>
        <w:rPr>
          <w:color w:val="000000" w:themeColor="text1"/>
          <w:sz w:val="24"/>
        </w:rPr>
      </w:pPr>
      <w:r w:rsidRPr="00C80B7D">
        <w:rPr>
          <w:color w:val="000000" w:themeColor="text1"/>
          <w:sz w:val="24"/>
        </w:rPr>
        <w:t xml:space="preserve">Sample 2: Sample mixed with </w:t>
      </w:r>
      <w:proofErr w:type="gramStart"/>
      <w:r w:rsidRPr="00C80B7D">
        <w:rPr>
          <w:color w:val="000000" w:themeColor="text1"/>
          <w:sz w:val="24"/>
        </w:rPr>
        <w:t>0.1</w:t>
      </w:r>
      <w:proofErr w:type="gramEnd"/>
      <w:r w:rsidRPr="00C80B7D">
        <w:rPr>
          <w:color w:val="000000" w:themeColor="text1"/>
          <w:sz w:val="24"/>
        </w:rPr>
        <w:t>% capsules</w:t>
      </w:r>
    </w:p>
    <w:p w14:paraId="38680749" w14:textId="4FA1B511" w:rsidR="00C80B7D" w:rsidRPr="000E13B7" w:rsidRDefault="00D901F4" w:rsidP="000E13B7">
      <w:pPr>
        <w:spacing w:before="240" w:after="240"/>
        <w:rPr>
          <w:color w:val="000000" w:themeColor="text1"/>
        </w:rPr>
      </w:pPr>
      <w:r w:rsidRPr="00C80B7D">
        <w:rPr>
          <w:color w:val="000000" w:themeColor="text1"/>
        </w:rPr>
        <w:t>Then, the panelists were asked to evaluate the given yogurt samples in terms of color, odor, consistency, taste and general acceptability by filling out the sensory evaluation form from 1 to 10 (very bad to very good).</w:t>
      </w:r>
    </w:p>
    <w:p w14:paraId="23C36379" w14:textId="5DF95F99" w:rsidR="00C80B7D" w:rsidRPr="000E13B7" w:rsidRDefault="00C80B7D" w:rsidP="000E13B7">
      <w:pPr>
        <w:pStyle w:val="ListeParagraf"/>
        <w:numPr>
          <w:ilvl w:val="1"/>
          <w:numId w:val="16"/>
        </w:numPr>
        <w:spacing w:before="240" w:after="240"/>
        <w:rPr>
          <w:i/>
          <w:iCs/>
          <w:color w:val="000000" w:themeColor="text1"/>
          <w:sz w:val="24"/>
        </w:rPr>
      </w:pPr>
      <w:r>
        <w:rPr>
          <w:b/>
          <w:iCs/>
          <w:color w:val="000000" w:themeColor="text1"/>
          <w:sz w:val="24"/>
        </w:rPr>
        <w:t xml:space="preserve"> </w:t>
      </w:r>
      <w:r w:rsidR="00D901F4" w:rsidRPr="00C80B7D">
        <w:rPr>
          <w:b/>
          <w:iCs/>
          <w:color w:val="000000" w:themeColor="text1"/>
          <w:sz w:val="24"/>
        </w:rPr>
        <w:t>Statistical Analyses</w:t>
      </w:r>
    </w:p>
    <w:p w14:paraId="29AF5F92" w14:textId="42D5568F" w:rsidR="00C80B7D" w:rsidRDefault="00D901F4" w:rsidP="000E13B7">
      <w:pPr>
        <w:spacing w:before="240" w:after="240"/>
        <w:jc w:val="both"/>
        <w:rPr>
          <w:color w:val="000000" w:themeColor="text1"/>
        </w:rPr>
      </w:pPr>
      <w:r w:rsidRPr="00C80B7D">
        <w:rPr>
          <w:i/>
          <w:iCs/>
          <w:color w:val="000000" w:themeColor="text1"/>
        </w:rPr>
        <w:t xml:space="preserve"> </w:t>
      </w:r>
      <w:r w:rsidRPr="00C80B7D">
        <w:rPr>
          <w:color w:val="000000" w:themeColor="text1"/>
        </w:rPr>
        <w:t>The statistical analysis of the data obtained as a result of the studies was evaluated using the GraphPad Prism 5.00 Software (GraphPad Software, La Jolla, CA) statistical program and p values ​​were determined by performing a two-way ANOVA test. Significance level p&gt;0.05 = ns was evaluated as insignificant, *p&lt;0.05 as significant, **p&lt;0.01 as very significant, ***p&lt;0.001 as highly significant.</w:t>
      </w:r>
    </w:p>
    <w:p w14:paraId="47F23184" w14:textId="77777777" w:rsidR="00C80B7D" w:rsidRPr="00BC01DD" w:rsidRDefault="00C80B7D" w:rsidP="000E13B7">
      <w:pPr>
        <w:shd w:val="clear" w:color="auto" w:fill="FFFFFF"/>
        <w:spacing w:before="240" w:after="240"/>
        <w:ind w:firstLine="567"/>
        <w:jc w:val="both"/>
        <w:textAlignment w:val="top"/>
        <w:rPr>
          <w:color w:val="000000" w:themeColor="text1"/>
        </w:rPr>
      </w:pPr>
    </w:p>
    <w:p w14:paraId="00650793" w14:textId="19560639" w:rsidR="003E4722" w:rsidRPr="00856A21" w:rsidRDefault="00F46B4C" w:rsidP="000E13B7">
      <w:pPr>
        <w:pStyle w:val="ListeParagraf"/>
        <w:numPr>
          <w:ilvl w:val="0"/>
          <w:numId w:val="16"/>
        </w:numPr>
        <w:autoSpaceDE w:val="0"/>
        <w:autoSpaceDN w:val="0"/>
        <w:adjustRightInd w:val="0"/>
        <w:spacing w:before="240" w:after="240" w:line="276" w:lineRule="auto"/>
        <w:ind w:firstLine="0"/>
        <w:rPr>
          <w:b/>
          <w:color w:val="000000" w:themeColor="text1"/>
          <w:sz w:val="24"/>
          <w:lang w:val="en-GB"/>
        </w:rPr>
      </w:pPr>
      <w:r w:rsidRPr="00D901F4">
        <w:rPr>
          <w:b/>
          <w:sz w:val="24"/>
        </w:rPr>
        <w:t xml:space="preserve">RESULTS AND DISCUSSION </w:t>
      </w:r>
    </w:p>
    <w:p w14:paraId="72E55824" w14:textId="1C5CA5D1" w:rsidR="00856A21" w:rsidRPr="000E13B7" w:rsidRDefault="00856A21" w:rsidP="000E13B7">
      <w:pPr>
        <w:spacing w:before="240" w:after="240"/>
        <w:ind w:firstLine="426"/>
        <w:jc w:val="both"/>
        <w:rPr>
          <w:color w:val="000000" w:themeColor="text1"/>
        </w:rPr>
      </w:pPr>
      <w:r w:rsidRPr="00A82883">
        <w:rPr>
          <w:color w:val="000000" w:themeColor="text1"/>
        </w:rPr>
        <w:t>The capsules prepared with amaranth microgreens extract were characterized by FTIR and XRD analyses. According to the XRD analysis results, it was determined that the amaranth microgreens extract had a largely amorphous structure and contained high levels of organic compounds. According to the FTIR analysis findings, it was determined that the capsules were successfully formed. With the obtained capsules, 2 different yogurt samples with 0.1% and 0.5% capsule addition were developed and plain yogurt was used as a control. All developed yogurt samples were stored for 4 weeks and pH, acidity, antioxidant (Cuprak, FRAP, DPPH•), microbiological (</w:t>
      </w:r>
      <w:r w:rsidRPr="007B3E45">
        <w:rPr>
          <w:i/>
          <w:color w:val="000000" w:themeColor="text1"/>
        </w:rPr>
        <w:t>E. coli and S. aureus</w:t>
      </w:r>
      <w:r w:rsidRPr="00A82883">
        <w:rPr>
          <w:color w:val="000000" w:themeColor="text1"/>
        </w:rPr>
        <w:t xml:space="preserve">), colorimetric and sensory analyses of the samples were performed. According to the antioxidant activity results, it was determined that the yogurt samples with capsule addition exhibited the highest antioxidant activity in all weeks. It was also observed that the antioxidant capacity of yoghurt increased in a study enriched with encapsulation with olive leaf extract </w:t>
      </w:r>
      <w:r w:rsidR="006C7484" w:rsidRPr="006C7484">
        <w:rPr>
          <w:spacing w:val="-3"/>
          <w:szCs w:val="20"/>
        </w:rPr>
        <w:t>[</w:t>
      </w:r>
      <w:r w:rsidR="006C7484">
        <w:rPr>
          <w:spacing w:val="-3"/>
          <w:szCs w:val="20"/>
        </w:rPr>
        <w:t>15</w:t>
      </w:r>
      <w:r w:rsidR="006C7484" w:rsidRPr="006C7484">
        <w:rPr>
          <w:spacing w:val="-3"/>
          <w:szCs w:val="20"/>
        </w:rPr>
        <w:t>].</w:t>
      </w:r>
      <w:r w:rsidRPr="00A82883">
        <w:rPr>
          <w:color w:val="000000" w:themeColor="text1"/>
        </w:rPr>
        <w:t xml:space="preserve"> According to the microbiological analyses, </w:t>
      </w:r>
      <w:r w:rsidRPr="00A82883">
        <w:rPr>
          <w:i/>
          <w:color w:val="000000" w:themeColor="text1"/>
        </w:rPr>
        <w:t>E. coli</w:t>
      </w:r>
      <w:r w:rsidRPr="00A82883">
        <w:rPr>
          <w:color w:val="000000" w:themeColor="text1"/>
        </w:rPr>
        <w:t xml:space="preserve"> and </w:t>
      </w:r>
      <w:r w:rsidRPr="00A82883">
        <w:rPr>
          <w:i/>
          <w:color w:val="000000" w:themeColor="text1"/>
        </w:rPr>
        <w:t xml:space="preserve">S. aureus </w:t>
      </w:r>
      <w:r w:rsidRPr="00A82883">
        <w:rPr>
          <w:color w:val="000000" w:themeColor="text1"/>
        </w:rPr>
        <w:t xml:space="preserve">were not detected in the yogurt samples. Similarly, the effect of carrot waste extract capsule on the microbiological profiles of yoghurt was tested and no values ​​were found for </w:t>
      </w:r>
      <w:r w:rsidRPr="00A82883">
        <w:rPr>
          <w:i/>
          <w:color w:val="000000" w:themeColor="text1"/>
        </w:rPr>
        <w:t>Salmonella</w:t>
      </w:r>
      <w:r w:rsidRPr="00A82883">
        <w:rPr>
          <w:color w:val="000000" w:themeColor="text1"/>
        </w:rPr>
        <w:t xml:space="preserve">, </w:t>
      </w:r>
      <w:r w:rsidRPr="00A82883">
        <w:rPr>
          <w:i/>
          <w:color w:val="000000" w:themeColor="text1"/>
        </w:rPr>
        <w:t>Listeria monocytogenes</w:t>
      </w:r>
      <w:r w:rsidRPr="00A82883">
        <w:rPr>
          <w:color w:val="000000" w:themeColor="text1"/>
        </w:rPr>
        <w:t xml:space="preserve"> and </w:t>
      </w:r>
      <w:r w:rsidRPr="00A82883">
        <w:rPr>
          <w:i/>
          <w:color w:val="000000" w:themeColor="text1"/>
        </w:rPr>
        <w:t xml:space="preserve">Staphylococcus aureus </w:t>
      </w:r>
      <w:r w:rsidR="006C7484" w:rsidRPr="006C7484">
        <w:rPr>
          <w:spacing w:val="-3"/>
          <w:szCs w:val="20"/>
        </w:rPr>
        <w:t>[</w:t>
      </w:r>
      <w:r w:rsidR="006C7484">
        <w:rPr>
          <w:spacing w:val="-3"/>
          <w:szCs w:val="20"/>
        </w:rPr>
        <w:t>16</w:t>
      </w:r>
      <w:r w:rsidR="006C7484" w:rsidRPr="006C7484">
        <w:rPr>
          <w:spacing w:val="-3"/>
          <w:szCs w:val="20"/>
        </w:rPr>
        <w:t>].</w:t>
      </w:r>
      <w:r w:rsidR="006C7484">
        <w:rPr>
          <w:spacing w:val="-3"/>
          <w:szCs w:val="20"/>
        </w:rPr>
        <w:t xml:space="preserve"> </w:t>
      </w:r>
      <w:r w:rsidRPr="00A82883">
        <w:rPr>
          <w:color w:val="000000" w:themeColor="text1"/>
        </w:rPr>
        <w:t xml:space="preserve">According to the colorimetric analysis results, it was determined that the capsule addition did not affect the whiteness and greenness of the yogurt but affected the yellowness. According to the sensory analysis results, the yogurt sample with 0.1% capsule added received higher </w:t>
      </w:r>
      <w:r w:rsidRPr="00A82883">
        <w:rPr>
          <w:color w:val="000000" w:themeColor="text1"/>
        </w:rPr>
        <w:lastRenderedPageBreak/>
        <w:t xml:space="preserve">scores in terms of taste parameters and was liked more compared to the control yogurt. In a previous study, it was shown that Doogh samples, a traditional Iranian yogurt enriched with nanoemulsion, received higher scores than samples with free nettle extract, and it was stated that the nanocapsules of nettle extract in Doogh could mask the intense taste and that this could facilitate its use as a functional ingredient for yogurt </w:t>
      </w:r>
      <w:r w:rsidR="006C7484" w:rsidRPr="006C7484">
        <w:rPr>
          <w:spacing w:val="-3"/>
          <w:szCs w:val="20"/>
        </w:rPr>
        <w:t>[</w:t>
      </w:r>
      <w:r w:rsidR="006C7484">
        <w:rPr>
          <w:spacing w:val="-3"/>
          <w:szCs w:val="20"/>
        </w:rPr>
        <w:t>1</w:t>
      </w:r>
      <w:r w:rsidR="006C7484">
        <w:rPr>
          <w:spacing w:val="-3"/>
          <w:szCs w:val="20"/>
        </w:rPr>
        <w:t>7</w:t>
      </w:r>
      <w:r w:rsidR="006C7484" w:rsidRPr="006C7484">
        <w:rPr>
          <w:spacing w:val="-3"/>
          <w:szCs w:val="20"/>
        </w:rPr>
        <w:t>].</w:t>
      </w:r>
    </w:p>
    <w:p w14:paraId="3DA07202" w14:textId="619352F1" w:rsidR="00F96649" w:rsidRPr="00856A21" w:rsidRDefault="00F46B4C" w:rsidP="000E13B7">
      <w:pPr>
        <w:numPr>
          <w:ilvl w:val="0"/>
          <w:numId w:val="16"/>
        </w:numPr>
        <w:autoSpaceDE w:val="0"/>
        <w:autoSpaceDN w:val="0"/>
        <w:adjustRightInd w:val="0"/>
        <w:spacing w:before="240" w:after="240" w:line="360" w:lineRule="auto"/>
        <w:contextualSpacing/>
        <w:jc w:val="both"/>
        <w:rPr>
          <w:color w:val="000000"/>
        </w:rPr>
      </w:pPr>
      <w:r w:rsidRPr="00856A21">
        <w:rPr>
          <w:b/>
          <w:color w:val="000000" w:themeColor="text1"/>
        </w:rPr>
        <w:t>CONCLUSIONS</w:t>
      </w:r>
      <w:r w:rsidR="00011CE7" w:rsidRPr="00856A21">
        <w:rPr>
          <w:b/>
          <w:color w:val="000000" w:themeColor="text1"/>
        </w:rPr>
        <w:t xml:space="preserve"> </w:t>
      </w:r>
    </w:p>
    <w:p w14:paraId="6BE1BFE4" w14:textId="4B4F1D98" w:rsidR="00856A21" w:rsidRPr="000E13B7" w:rsidRDefault="00856A21" w:rsidP="000E13B7">
      <w:pPr>
        <w:spacing w:before="240" w:after="240"/>
        <w:ind w:firstLine="284"/>
        <w:jc w:val="both"/>
        <w:rPr>
          <w:color w:val="000000" w:themeColor="text1"/>
        </w:rPr>
      </w:pPr>
      <w:r w:rsidRPr="00A82883">
        <w:rPr>
          <w:color w:val="000000" w:themeColor="text1"/>
        </w:rPr>
        <w:t>As a result of the research, by adding amaranth microgreens extract to yogurt by encapsulating it, the stability of the bioactive components contained in amaranth microgreens against environmental conditions was maintained and thus their beneficial health effects were utilized. In addition, the nutritional value of the yogurt was increased and a functional food with high antioxidant activity, microbiological safety and generally accepted by the panelists was obtained.</w:t>
      </w:r>
    </w:p>
    <w:p w14:paraId="5B4BFC1B" w14:textId="77777777" w:rsidR="00011CE7" w:rsidRDefault="00011CE7" w:rsidP="000E13B7">
      <w:pPr>
        <w:numPr>
          <w:ilvl w:val="12"/>
          <w:numId w:val="0"/>
        </w:numPr>
        <w:tabs>
          <w:tab w:val="left" w:pos="-720"/>
          <w:tab w:val="left" w:pos="0"/>
          <w:tab w:val="left" w:pos="720"/>
        </w:tabs>
        <w:suppressAutoHyphens/>
        <w:spacing w:before="240" w:after="240"/>
        <w:rPr>
          <w:b/>
          <w:bCs/>
          <w:spacing w:val="-3"/>
          <w:sz w:val="20"/>
          <w:szCs w:val="20"/>
        </w:rPr>
      </w:pPr>
    </w:p>
    <w:p w14:paraId="10E845CF" w14:textId="295209CF" w:rsidR="00FB3C4E" w:rsidRDefault="00856A21" w:rsidP="000E13B7">
      <w:pPr>
        <w:pStyle w:val="EndNoteBibliography"/>
        <w:spacing w:before="240" w:after="240"/>
        <w:ind w:left="720" w:hanging="720"/>
        <w:jc w:val="both"/>
        <w:rPr>
          <w:rFonts w:ascii="Times New Roman" w:eastAsiaTheme="minorHAnsi" w:cstheme="minorBidi"/>
          <w:b/>
          <w:color w:val="000000" w:themeColor="text1"/>
          <w:kern w:val="2"/>
          <w:szCs w:val="24"/>
          <w:lang w:val="tr-TR" w:eastAsia="en-US"/>
          <w14:ligatures w14:val="standardContextual"/>
        </w:rPr>
      </w:pPr>
      <w:r w:rsidRPr="00EE5866">
        <w:rPr>
          <w:rFonts w:ascii="Times New Roman" w:eastAsiaTheme="minorHAnsi" w:cstheme="minorBidi"/>
          <w:b/>
          <w:color w:val="000000" w:themeColor="text1"/>
          <w:kern w:val="2"/>
          <w:szCs w:val="24"/>
          <w:lang w:val="tr-TR" w:eastAsia="en-US"/>
          <w14:ligatures w14:val="standardContextual"/>
        </w:rPr>
        <w:t xml:space="preserve">References </w:t>
      </w:r>
    </w:p>
    <w:p w14:paraId="39CAC841" w14:textId="77777777" w:rsidR="00FB3C4E" w:rsidRDefault="00FB3C4E" w:rsidP="000E13B7">
      <w:pPr>
        <w:pStyle w:val="EndNoteBibliography"/>
        <w:numPr>
          <w:ilvl w:val="0"/>
          <w:numId w:val="17"/>
        </w:numPr>
        <w:spacing w:before="240" w:after="240"/>
        <w:jc w:val="both"/>
        <w:rPr>
          <w:rFonts w:ascii="Times New Roman"/>
          <w:color w:val="000000" w:themeColor="text1"/>
          <w:sz w:val="20"/>
        </w:rPr>
      </w:pPr>
      <w:r>
        <w:rPr>
          <w:rFonts w:ascii="Times New Roman" w:eastAsiaTheme="minorHAnsi" w:cstheme="minorBidi"/>
          <w:color w:val="000000" w:themeColor="text1"/>
          <w:kern w:val="2"/>
          <w:sz w:val="20"/>
          <w:szCs w:val="24"/>
          <w:lang w:val="tr-TR" w:eastAsia="en-US"/>
          <w14:ligatures w14:val="standardContextual"/>
        </w:rPr>
        <w:t>Corzo, L</w:t>
      </w:r>
      <w:proofErr w:type="gramStart"/>
      <w:r>
        <w:rPr>
          <w:rFonts w:ascii="Times New Roman" w:eastAsiaTheme="minorHAnsi" w:cstheme="minorBidi"/>
          <w:color w:val="000000" w:themeColor="text1"/>
          <w:kern w:val="2"/>
          <w:sz w:val="20"/>
          <w:szCs w:val="24"/>
          <w:lang w:val="tr-TR" w:eastAsia="en-US"/>
          <w14:ligatures w14:val="standardContextual"/>
        </w:rPr>
        <w:t>.,</w:t>
      </w:r>
      <w:proofErr w:type="gramEnd"/>
      <w:r>
        <w:rPr>
          <w:rFonts w:ascii="Times New Roman" w:eastAsiaTheme="minorHAnsi" w:cstheme="minorBidi"/>
          <w:color w:val="000000" w:themeColor="text1"/>
          <w:kern w:val="2"/>
          <w:sz w:val="20"/>
          <w:szCs w:val="24"/>
          <w:lang w:val="tr-TR" w:eastAsia="en-US"/>
          <w14:ligatures w14:val="standardContextual"/>
        </w:rPr>
        <w:t xml:space="preserve"> Fernández-Novoa, L., Carrera, I., Martínez, O., Rodríguez, S., Alejo, R., &amp; Cacabelos, R. (2020). Nutrition, health, and disease: Role of selected marine and vegetal nutraceuticals. </w:t>
      </w:r>
      <w:r>
        <w:rPr>
          <w:rFonts w:ascii="Times New Roman" w:eastAsiaTheme="minorHAnsi" w:cstheme="minorBidi"/>
          <w:i/>
          <w:color w:val="000000" w:themeColor="text1"/>
          <w:kern w:val="2"/>
          <w:sz w:val="20"/>
          <w:szCs w:val="24"/>
          <w:lang w:val="tr-TR" w:eastAsia="en-US"/>
          <w14:ligatures w14:val="standardContextual"/>
        </w:rPr>
        <w:t xml:space="preserve">Nutrients, </w:t>
      </w:r>
      <w:r>
        <w:rPr>
          <w:rFonts w:ascii="Times New Roman" w:eastAsiaTheme="minorHAnsi" w:cstheme="minorBidi"/>
          <w:color w:val="000000" w:themeColor="text1"/>
          <w:kern w:val="2"/>
          <w:sz w:val="20"/>
          <w:szCs w:val="24"/>
          <w:lang w:val="tr-TR" w:eastAsia="en-US"/>
          <w14:ligatures w14:val="standardContextual"/>
        </w:rPr>
        <w:t xml:space="preserve">12(3), 747. </w:t>
      </w:r>
    </w:p>
    <w:p w14:paraId="337125FA" w14:textId="77777777" w:rsidR="00FB3C4E" w:rsidRDefault="00FB3C4E" w:rsidP="000E13B7">
      <w:pPr>
        <w:pStyle w:val="EndNoteBibliography"/>
        <w:numPr>
          <w:ilvl w:val="0"/>
          <w:numId w:val="17"/>
        </w:numPr>
        <w:spacing w:before="240" w:after="240"/>
        <w:jc w:val="both"/>
        <w:rPr>
          <w:rFonts w:ascii="Times New Roman" w:eastAsiaTheme="minorHAnsi" w:cstheme="minorBidi"/>
          <w:color w:val="000000" w:themeColor="text1"/>
          <w:kern w:val="2"/>
          <w:sz w:val="20"/>
          <w:szCs w:val="24"/>
          <w:lang w:val="tr-TR" w:eastAsia="en-US"/>
          <w14:ligatures w14:val="standardContextual"/>
        </w:rPr>
      </w:pPr>
      <w:r>
        <w:rPr>
          <w:rFonts w:ascii="Times New Roman" w:eastAsiaTheme="minorHAnsi" w:cstheme="minorBidi"/>
          <w:color w:val="000000" w:themeColor="text1"/>
          <w:kern w:val="2"/>
          <w:sz w:val="20"/>
          <w:szCs w:val="24"/>
          <w:lang w:val="tr-TR" w:eastAsia="en-US"/>
          <w14:ligatures w14:val="standardContextual"/>
        </w:rPr>
        <w:t>Gul, K</w:t>
      </w:r>
      <w:proofErr w:type="gramStart"/>
      <w:r>
        <w:rPr>
          <w:rFonts w:ascii="Times New Roman" w:eastAsiaTheme="minorHAnsi" w:cstheme="minorBidi"/>
          <w:color w:val="000000" w:themeColor="text1"/>
          <w:kern w:val="2"/>
          <w:sz w:val="20"/>
          <w:szCs w:val="24"/>
          <w:lang w:val="tr-TR" w:eastAsia="en-US"/>
          <w14:ligatures w14:val="standardContextual"/>
        </w:rPr>
        <w:t>.,</w:t>
      </w:r>
      <w:proofErr w:type="gramEnd"/>
      <w:r>
        <w:rPr>
          <w:rFonts w:ascii="Times New Roman" w:eastAsiaTheme="minorHAnsi" w:cstheme="minorBidi"/>
          <w:color w:val="000000" w:themeColor="text1"/>
          <w:kern w:val="2"/>
          <w:sz w:val="20"/>
          <w:szCs w:val="24"/>
          <w:lang w:val="tr-TR" w:eastAsia="en-US"/>
          <w14:ligatures w14:val="standardContextual"/>
        </w:rPr>
        <w:t xml:space="preserve"> Singh, A., &amp; Jabeen, R. (2016). Nutraceuticals and functional foods: the foods for the future world. </w:t>
      </w:r>
      <w:r>
        <w:rPr>
          <w:rFonts w:ascii="Times New Roman" w:eastAsiaTheme="minorHAnsi" w:cstheme="minorBidi"/>
          <w:i/>
          <w:color w:val="000000" w:themeColor="text1"/>
          <w:kern w:val="2"/>
          <w:sz w:val="20"/>
          <w:szCs w:val="24"/>
          <w:lang w:val="tr-TR" w:eastAsia="en-US"/>
          <w14:ligatures w14:val="standardContextual"/>
        </w:rPr>
        <w:t>Critical Reviews in Food Science and Nutrition</w:t>
      </w:r>
      <w:r>
        <w:rPr>
          <w:rFonts w:ascii="Times New Roman" w:eastAsiaTheme="minorHAnsi" w:cstheme="minorBidi"/>
          <w:color w:val="000000" w:themeColor="text1"/>
          <w:kern w:val="2"/>
          <w:sz w:val="20"/>
          <w:szCs w:val="24"/>
          <w:lang w:val="tr-TR" w:eastAsia="en-US"/>
          <w14:ligatures w14:val="standardContextual"/>
        </w:rPr>
        <w:t xml:space="preserve">, 56(16), 2617-2627. </w:t>
      </w:r>
    </w:p>
    <w:p w14:paraId="16CAC2C9" w14:textId="77777777" w:rsidR="00FB3C4E" w:rsidRDefault="00FB3C4E" w:rsidP="000E13B7">
      <w:pPr>
        <w:pStyle w:val="EndNoteBibliography"/>
        <w:numPr>
          <w:ilvl w:val="0"/>
          <w:numId w:val="17"/>
        </w:numPr>
        <w:spacing w:before="240" w:after="240"/>
        <w:jc w:val="both"/>
        <w:rPr>
          <w:rFonts w:ascii="Times New Roman" w:eastAsiaTheme="minorHAnsi" w:cstheme="minorBidi"/>
          <w:color w:val="000000" w:themeColor="text1"/>
          <w:kern w:val="2"/>
          <w:sz w:val="20"/>
          <w:szCs w:val="24"/>
          <w:lang w:val="tr-TR" w:eastAsia="en-US"/>
          <w14:ligatures w14:val="standardContextual"/>
        </w:rPr>
      </w:pPr>
      <w:r>
        <w:rPr>
          <w:rFonts w:ascii="Times New Roman" w:eastAsiaTheme="minorHAnsi" w:cstheme="minorBidi"/>
          <w:color w:val="000000" w:themeColor="text1"/>
          <w:kern w:val="2"/>
          <w:sz w:val="20"/>
          <w:szCs w:val="24"/>
          <w:lang w:val="tr-TR" w:eastAsia="en-US"/>
          <w14:ligatures w14:val="standardContextual"/>
        </w:rPr>
        <w:t>Đorđević, V</w:t>
      </w:r>
      <w:proofErr w:type="gramStart"/>
      <w:r>
        <w:rPr>
          <w:rFonts w:ascii="Times New Roman" w:eastAsiaTheme="minorHAnsi" w:cstheme="minorBidi"/>
          <w:color w:val="000000" w:themeColor="text1"/>
          <w:kern w:val="2"/>
          <w:sz w:val="20"/>
          <w:szCs w:val="24"/>
          <w:lang w:val="tr-TR" w:eastAsia="en-US"/>
          <w14:ligatures w14:val="standardContextual"/>
        </w:rPr>
        <w:t>.,</w:t>
      </w:r>
      <w:proofErr w:type="gramEnd"/>
      <w:r>
        <w:rPr>
          <w:rFonts w:ascii="Times New Roman" w:eastAsiaTheme="minorHAnsi" w:cstheme="minorBidi"/>
          <w:color w:val="000000" w:themeColor="text1"/>
          <w:kern w:val="2"/>
          <w:sz w:val="20"/>
          <w:szCs w:val="24"/>
          <w:lang w:val="tr-TR" w:eastAsia="en-US"/>
          <w14:ligatures w14:val="standardContextual"/>
        </w:rPr>
        <w:t xml:space="preserve"> Balanč, B., Belščak-Cvitanović, A., Lević, S., Trifković, K., Kalušević, A., Kostić, I., Komes, D., Bugarski, B., &amp; Nedović, V. (2015). Trends in encapsulation technologies for delivery of food bioactive compounds. Food Engineering Reviews, 7, 452-490. https://doi.org/</w:t>
      </w:r>
      <w:proofErr w:type="gramStart"/>
      <w:r>
        <w:rPr>
          <w:rFonts w:ascii="Times New Roman" w:eastAsiaTheme="minorHAnsi" w:cstheme="minorBidi"/>
          <w:color w:val="000000" w:themeColor="text1"/>
          <w:kern w:val="2"/>
          <w:sz w:val="20"/>
          <w:szCs w:val="24"/>
          <w:lang w:val="tr-TR" w:eastAsia="en-US"/>
          <w14:ligatures w14:val="standardContextual"/>
        </w:rPr>
        <w:t>10.1007</w:t>
      </w:r>
      <w:proofErr w:type="gramEnd"/>
      <w:r>
        <w:rPr>
          <w:rFonts w:ascii="Times New Roman" w:eastAsiaTheme="minorHAnsi" w:cstheme="minorBidi"/>
          <w:color w:val="000000" w:themeColor="text1"/>
          <w:kern w:val="2"/>
          <w:sz w:val="20"/>
          <w:szCs w:val="24"/>
          <w:lang w:val="tr-TR" w:eastAsia="en-US"/>
          <w14:ligatures w14:val="standardContextual"/>
        </w:rPr>
        <w:t>/s12393-014-9106-7</w:t>
      </w:r>
    </w:p>
    <w:p w14:paraId="79C12B9D" w14:textId="77777777" w:rsidR="00FB3C4E" w:rsidRDefault="00FB3C4E" w:rsidP="000E13B7">
      <w:pPr>
        <w:pStyle w:val="EndNoteBibliography"/>
        <w:numPr>
          <w:ilvl w:val="0"/>
          <w:numId w:val="17"/>
        </w:numPr>
        <w:spacing w:before="240" w:after="240"/>
        <w:jc w:val="both"/>
        <w:rPr>
          <w:rFonts w:ascii="Times New Roman" w:eastAsiaTheme="minorHAnsi" w:cstheme="minorBidi"/>
          <w:color w:val="000000" w:themeColor="text1"/>
          <w:kern w:val="2"/>
          <w:sz w:val="20"/>
          <w:szCs w:val="24"/>
          <w:lang w:val="tr-TR" w:eastAsia="en-US"/>
          <w14:ligatures w14:val="standardContextual"/>
        </w:rPr>
      </w:pPr>
      <w:r w:rsidRPr="00FB3C4E">
        <w:rPr>
          <w:rFonts w:ascii="Times New Roman" w:eastAsiaTheme="minorHAnsi" w:cstheme="minorBidi"/>
          <w:color w:val="000000" w:themeColor="text1"/>
          <w:kern w:val="2"/>
          <w:sz w:val="20"/>
          <w:szCs w:val="24"/>
          <w:lang w:val="tr-TR" w:eastAsia="en-US"/>
          <w14:ligatures w14:val="standardContextual"/>
        </w:rPr>
        <w:t>Timilsena, Y. P</w:t>
      </w:r>
      <w:proofErr w:type="gramStart"/>
      <w:r w:rsidRPr="00FB3C4E">
        <w:rPr>
          <w:rFonts w:ascii="Times New Roman" w:eastAsiaTheme="minorHAnsi" w:cstheme="minorBidi"/>
          <w:color w:val="000000" w:themeColor="text1"/>
          <w:kern w:val="2"/>
          <w:sz w:val="20"/>
          <w:szCs w:val="24"/>
          <w:lang w:val="tr-TR" w:eastAsia="en-US"/>
          <w14:ligatures w14:val="standardContextual"/>
        </w:rPr>
        <w:t>.,</w:t>
      </w:r>
      <w:proofErr w:type="gramEnd"/>
      <w:r w:rsidRPr="00FB3C4E">
        <w:rPr>
          <w:rFonts w:ascii="Times New Roman" w:eastAsiaTheme="minorHAnsi" w:cstheme="minorBidi"/>
          <w:color w:val="000000" w:themeColor="text1"/>
          <w:kern w:val="2"/>
          <w:sz w:val="20"/>
          <w:szCs w:val="24"/>
          <w:lang w:val="tr-TR" w:eastAsia="en-US"/>
          <w14:ligatures w14:val="standardContextual"/>
        </w:rPr>
        <w:t xml:space="preserve"> Vongsvivut, J., Tobin, M. J., Adhikari, R., Barrow, C., &amp; Adhikari, B. (2019). Investigation of oil distribution in spray-dried chia seed oil microcapsules using synchrotron-FTIR microspectroscopy. Food Chemistry, 275, 457-466</w:t>
      </w:r>
      <w:r w:rsidRPr="00FB3C4E">
        <w:rPr>
          <w:rFonts w:ascii="Times New Roman" w:eastAsiaTheme="minorHAnsi" w:cstheme="minorBidi"/>
          <w:color w:val="000000" w:themeColor="text1"/>
          <w:kern w:val="2"/>
          <w:sz w:val="20"/>
          <w:szCs w:val="24"/>
          <w:lang w:val="tr-TR" w:eastAsia="en-US"/>
          <w14:ligatures w14:val="standardContextual"/>
        </w:rPr>
        <w:t>.</w:t>
      </w:r>
    </w:p>
    <w:p w14:paraId="2C3793ED" w14:textId="02B32A10" w:rsidR="00FB3C4E" w:rsidRPr="00FB3C4E" w:rsidRDefault="00FB3C4E" w:rsidP="000E13B7">
      <w:pPr>
        <w:pStyle w:val="EndNoteBibliography"/>
        <w:numPr>
          <w:ilvl w:val="0"/>
          <w:numId w:val="17"/>
        </w:numPr>
        <w:spacing w:before="240" w:after="240"/>
        <w:jc w:val="both"/>
        <w:rPr>
          <w:rFonts w:ascii="Times New Roman" w:eastAsiaTheme="minorHAnsi" w:cstheme="minorBidi"/>
          <w:color w:val="000000" w:themeColor="text1"/>
          <w:kern w:val="2"/>
          <w:sz w:val="20"/>
          <w:szCs w:val="24"/>
          <w:lang w:val="tr-TR" w:eastAsia="en-US"/>
          <w14:ligatures w14:val="standardContextual"/>
        </w:rPr>
      </w:pPr>
      <w:r w:rsidRPr="00FB3C4E">
        <w:rPr>
          <w:rFonts w:ascii="Times New Roman" w:eastAsiaTheme="minorHAnsi" w:cstheme="minorBidi"/>
          <w:color w:val="000000" w:themeColor="text1"/>
          <w:kern w:val="2"/>
          <w:sz w:val="20"/>
          <w:szCs w:val="24"/>
          <w:lang w:val="tr-TR" w:eastAsia="en-US"/>
          <w14:ligatures w14:val="standardContextual"/>
        </w:rPr>
        <w:t>Rahaiee, S</w:t>
      </w:r>
      <w:proofErr w:type="gramStart"/>
      <w:r w:rsidRPr="00FB3C4E">
        <w:rPr>
          <w:rFonts w:ascii="Times New Roman" w:eastAsiaTheme="minorHAnsi" w:cstheme="minorBidi"/>
          <w:color w:val="000000" w:themeColor="text1"/>
          <w:kern w:val="2"/>
          <w:sz w:val="20"/>
          <w:szCs w:val="24"/>
          <w:lang w:val="tr-TR" w:eastAsia="en-US"/>
          <w14:ligatures w14:val="standardContextual"/>
        </w:rPr>
        <w:t>.,</w:t>
      </w:r>
      <w:proofErr w:type="gramEnd"/>
      <w:r w:rsidRPr="00FB3C4E">
        <w:rPr>
          <w:rFonts w:ascii="Times New Roman" w:eastAsiaTheme="minorHAnsi" w:cstheme="minorBidi"/>
          <w:color w:val="000000" w:themeColor="text1"/>
          <w:kern w:val="2"/>
          <w:sz w:val="20"/>
          <w:szCs w:val="24"/>
          <w:lang w:val="tr-TR" w:eastAsia="en-US"/>
          <w14:ligatures w14:val="standardContextual"/>
        </w:rPr>
        <w:t xml:space="preserve"> Assadpour, E., Esfanjani, A. F., Silva, A. S., &amp; Jafari, S. M. (2020). Application of nano/microencapsulated phenolic compounds against cancer. Advances in Colloid And Interface Science, 279, 102153. </w:t>
      </w:r>
    </w:p>
    <w:p w14:paraId="6B32BEF1" w14:textId="77777777" w:rsidR="00FB3C4E" w:rsidRDefault="00FB3C4E" w:rsidP="000E13B7">
      <w:pPr>
        <w:pStyle w:val="ListeParagraf"/>
        <w:numPr>
          <w:ilvl w:val="0"/>
          <w:numId w:val="17"/>
        </w:numPr>
        <w:spacing w:before="240" w:after="240"/>
        <w:rPr>
          <w:rFonts w:eastAsiaTheme="minorHAnsi" w:cstheme="minorBidi"/>
          <w:color w:val="000000" w:themeColor="text1"/>
          <w:kern w:val="2"/>
          <w:sz w:val="20"/>
          <w14:ligatures w14:val="standardContextual"/>
        </w:rPr>
      </w:pPr>
      <w:r>
        <w:rPr>
          <w:color w:val="000000" w:themeColor="text1"/>
        </w:rPr>
        <w:t>Ezhilarasi, P</w:t>
      </w:r>
      <w:proofErr w:type="gramStart"/>
      <w:r>
        <w:rPr>
          <w:color w:val="000000" w:themeColor="text1"/>
        </w:rPr>
        <w:t>.,</w:t>
      </w:r>
      <w:proofErr w:type="gramEnd"/>
      <w:r>
        <w:rPr>
          <w:color w:val="000000" w:themeColor="text1"/>
        </w:rPr>
        <w:t xml:space="preserve"> Karthik, P., Chhanwal, N., &amp; Anandharamakrishnan, C. (2013). Nanoencapsulation techniques for food bioactive components: a review. </w:t>
      </w:r>
      <w:r>
        <w:rPr>
          <w:i/>
          <w:color w:val="000000" w:themeColor="text1"/>
        </w:rPr>
        <w:t>Food and Bioprocess Technology</w:t>
      </w:r>
      <w:r>
        <w:rPr>
          <w:color w:val="000000" w:themeColor="text1"/>
        </w:rPr>
        <w:t>, 6, 628-647.</w:t>
      </w:r>
    </w:p>
    <w:p w14:paraId="14D40735" w14:textId="77777777" w:rsidR="00FB3C4E" w:rsidRDefault="00FB3C4E" w:rsidP="000E13B7">
      <w:pPr>
        <w:pStyle w:val="ListeParagraf"/>
        <w:numPr>
          <w:ilvl w:val="0"/>
          <w:numId w:val="17"/>
        </w:numPr>
        <w:spacing w:before="240" w:after="240"/>
        <w:rPr>
          <w:rFonts w:eastAsiaTheme="minorEastAsia"/>
          <w:color w:val="000000" w:themeColor="text1"/>
          <w:sz w:val="20"/>
          <w:szCs w:val="22"/>
          <w:lang w:val="en-US" w:eastAsia="tr-TR"/>
        </w:rPr>
      </w:pPr>
      <w:r>
        <w:rPr>
          <w:rFonts w:eastAsiaTheme="minorHAnsi" w:cstheme="minorBidi"/>
          <w:color w:val="000000" w:themeColor="text1"/>
          <w:kern w:val="2"/>
          <w:szCs w:val="22"/>
          <w14:ligatures w14:val="standardContextual"/>
        </w:rPr>
        <w:t>Tutun, S</w:t>
      </w:r>
      <w:proofErr w:type="gramStart"/>
      <w:r>
        <w:rPr>
          <w:rFonts w:eastAsiaTheme="minorHAnsi" w:cstheme="minorBidi"/>
          <w:color w:val="000000" w:themeColor="text1"/>
          <w:kern w:val="2"/>
          <w:szCs w:val="22"/>
          <w14:ligatures w14:val="standardContextual"/>
        </w:rPr>
        <w:t>.,</w:t>
      </w:r>
      <w:proofErr w:type="gramEnd"/>
      <w:r>
        <w:rPr>
          <w:rFonts w:eastAsiaTheme="minorHAnsi" w:cstheme="minorBidi"/>
          <w:color w:val="000000" w:themeColor="text1"/>
          <w:kern w:val="2"/>
          <w:szCs w:val="22"/>
          <w14:ligatures w14:val="standardContextual"/>
        </w:rPr>
        <w:t xml:space="preserve"> &amp; Yurdakul, O. (2022). Enkapsülasyon ve gıda teknolojisinde kullanımı. Veteriner Farmakoloji ve Toksikoloji Derneği Bülteni, 13(2), 99-119</w:t>
      </w:r>
      <w:r>
        <w:rPr>
          <w:rFonts w:eastAsiaTheme="minorHAnsi" w:cstheme="minorBidi"/>
          <w:color w:val="000000" w:themeColor="text1"/>
          <w:kern w:val="2"/>
          <w:sz w:val="20"/>
          <w14:ligatures w14:val="standardContextual"/>
        </w:rPr>
        <w:t>.</w:t>
      </w:r>
    </w:p>
    <w:p w14:paraId="25254636" w14:textId="77777777" w:rsidR="00FB3C4E" w:rsidRDefault="00FB3C4E" w:rsidP="000E13B7">
      <w:pPr>
        <w:pStyle w:val="ListeParagraf"/>
        <w:numPr>
          <w:ilvl w:val="0"/>
          <w:numId w:val="17"/>
        </w:numPr>
        <w:spacing w:before="240" w:after="240"/>
        <w:rPr>
          <w:rFonts w:eastAsiaTheme="minorEastAsia"/>
          <w:color w:val="000000" w:themeColor="text1"/>
          <w:sz w:val="20"/>
          <w:szCs w:val="22"/>
          <w:lang w:val="en-US" w:eastAsia="tr-TR"/>
        </w:rPr>
      </w:pPr>
      <w:r>
        <w:rPr>
          <w:color w:val="000000" w:themeColor="text1"/>
          <w:sz w:val="20"/>
        </w:rPr>
        <w:t>Jiang, X</w:t>
      </w:r>
      <w:proofErr w:type="gramStart"/>
      <w:r>
        <w:rPr>
          <w:color w:val="000000" w:themeColor="text1"/>
          <w:sz w:val="20"/>
        </w:rPr>
        <w:t>.,</w:t>
      </w:r>
      <w:proofErr w:type="gramEnd"/>
      <w:r>
        <w:rPr>
          <w:color w:val="000000" w:themeColor="text1"/>
          <w:sz w:val="20"/>
        </w:rPr>
        <w:t xml:space="preserve"> Du, Z., Zhang, X., Zaman, F., Song, Z., Guan, Y., ... &amp; Huang, Y. (2023). Gelatin-based anticancer drug delivery nanosystems: A mini review. Frontiers in Bioengineering and Biotechnology, 11, 1158749.</w:t>
      </w:r>
    </w:p>
    <w:p w14:paraId="220343CF" w14:textId="77777777" w:rsidR="00FB3C4E" w:rsidRDefault="00FB3C4E" w:rsidP="000E13B7">
      <w:pPr>
        <w:pStyle w:val="ListeParagraf"/>
        <w:numPr>
          <w:ilvl w:val="0"/>
          <w:numId w:val="17"/>
        </w:numPr>
        <w:spacing w:before="240" w:after="240"/>
        <w:rPr>
          <w:color w:val="000000" w:themeColor="text1"/>
          <w:sz w:val="20"/>
        </w:rPr>
      </w:pPr>
      <w:r>
        <w:rPr>
          <w:color w:val="000000" w:themeColor="text1"/>
          <w:sz w:val="20"/>
        </w:rPr>
        <w:t>Omnia M. A</w:t>
      </w:r>
      <w:proofErr w:type="gramStart"/>
      <w:r>
        <w:rPr>
          <w:color w:val="000000" w:themeColor="text1"/>
          <w:sz w:val="20"/>
        </w:rPr>
        <w:t>.,</w:t>
      </w:r>
      <w:proofErr w:type="gramEnd"/>
      <w:r>
        <w:rPr>
          <w:color w:val="000000" w:themeColor="text1"/>
          <w:sz w:val="20"/>
        </w:rPr>
        <w:t xml:space="preserve"> Hashem, Y., Bekhit, A. A., Khattab, S. N., Elkhodairy, K. A., Freag, M. S., ... &amp; Elzoghby, A. O. (2019). Nanostructures of gelatin for encapsulation of food ingredients. In Biopolymer Nanostructures for Food Encapsulation Purposes </w:t>
      </w:r>
      <w:proofErr w:type="gramStart"/>
      <w:r>
        <w:rPr>
          <w:color w:val="000000" w:themeColor="text1"/>
          <w:sz w:val="20"/>
        </w:rPr>
        <w:t>(</w:t>
      </w:r>
      <w:proofErr w:type="gramEnd"/>
      <w:r>
        <w:rPr>
          <w:color w:val="000000" w:themeColor="text1"/>
          <w:sz w:val="20"/>
        </w:rPr>
        <w:t>pp. 189-216</w:t>
      </w:r>
      <w:proofErr w:type="gramStart"/>
      <w:r>
        <w:rPr>
          <w:color w:val="000000" w:themeColor="text1"/>
          <w:sz w:val="20"/>
        </w:rPr>
        <w:t>)</w:t>
      </w:r>
      <w:proofErr w:type="gramEnd"/>
      <w:r>
        <w:rPr>
          <w:color w:val="000000" w:themeColor="text1"/>
          <w:sz w:val="20"/>
        </w:rPr>
        <w:t xml:space="preserve">. </w:t>
      </w:r>
      <w:r>
        <w:rPr>
          <w:i/>
          <w:color w:val="000000" w:themeColor="text1"/>
          <w:sz w:val="20"/>
        </w:rPr>
        <w:t>Academic Press.</w:t>
      </w:r>
    </w:p>
    <w:p w14:paraId="724D2CE5" w14:textId="77777777" w:rsidR="00FB3C4E" w:rsidRDefault="00FB3C4E" w:rsidP="000E13B7">
      <w:pPr>
        <w:pStyle w:val="ListeParagraf"/>
        <w:numPr>
          <w:ilvl w:val="0"/>
          <w:numId w:val="17"/>
        </w:numPr>
        <w:spacing w:before="240" w:after="240"/>
        <w:rPr>
          <w:rFonts w:eastAsiaTheme="minorEastAsia"/>
          <w:color w:val="000000" w:themeColor="text1"/>
          <w:sz w:val="20"/>
          <w:szCs w:val="22"/>
          <w:lang w:val="en-US" w:eastAsia="tr-TR"/>
        </w:rPr>
      </w:pPr>
      <w:r>
        <w:rPr>
          <w:color w:val="000000" w:themeColor="text1"/>
          <w:sz w:val="20"/>
        </w:rPr>
        <w:t>Matalanis, A</w:t>
      </w:r>
      <w:proofErr w:type="gramStart"/>
      <w:r>
        <w:rPr>
          <w:color w:val="000000" w:themeColor="text1"/>
          <w:sz w:val="20"/>
        </w:rPr>
        <w:t>.,</w:t>
      </w:r>
      <w:proofErr w:type="gramEnd"/>
      <w:r>
        <w:rPr>
          <w:color w:val="000000" w:themeColor="text1"/>
          <w:sz w:val="20"/>
        </w:rPr>
        <w:t xml:space="preserve"> Jones, O. G., &amp; McClements, D. J. (2011). Structured biopolymer-based delivery systems for encapsulation, protection, and release of lipophilic compounds. Food Hydrocolloids, 25(8), 1865-1880.</w:t>
      </w:r>
    </w:p>
    <w:p w14:paraId="4F5ECF5F" w14:textId="77777777" w:rsidR="00FB3C4E" w:rsidRPr="00FB3C4E" w:rsidRDefault="00FB3C4E" w:rsidP="000E13B7">
      <w:pPr>
        <w:pStyle w:val="ListeParagraf"/>
        <w:numPr>
          <w:ilvl w:val="0"/>
          <w:numId w:val="17"/>
        </w:numPr>
        <w:spacing w:before="240" w:after="240"/>
        <w:rPr>
          <w:rFonts w:eastAsiaTheme="minorEastAsia"/>
          <w:color w:val="000000" w:themeColor="text1"/>
          <w:sz w:val="20"/>
          <w:szCs w:val="22"/>
          <w:lang w:val="en-US" w:eastAsia="tr-TR"/>
        </w:rPr>
      </w:pPr>
      <w:r w:rsidRPr="00FB3C4E">
        <w:rPr>
          <w:color w:val="000000" w:themeColor="text1"/>
          <w:sz w:val="20"/>
        </w:rPr>
        <w:t>Kyriacou, M. C</w:t>
      </w:r>
      <w:proofErr w:type="gramStart"/>
      <w:r w:rsidRPr="00FB3C4E">
        <w:rPr>
          <w:color w:val="000000" w:themeColor="text1"/>
          <w:sz w:val="20"/>
        </w:rPr>
        <w:t>.,</w:t>
      </w:r>
      <w:proofErr w:type="gramEnd"/>
      <w:r w:rsidRPr="00FB3C4E">
        <w:rPr>
          <w:color w:val="000000" w:themeColor="text1"/>
          <w:sz w:val="20"/>
        </w:rPr>
        <w:t xml:space="preserve"> Rouphael, Y., Di Gioia, F., Kyratzis, A., Serio, F., Renna, M., De Pascale, S., &amp; Santamaria, P. (2016). Micro-scale vegetable production and the rise of microgreens. Trends in Food Science &amp; Technology, 57, 103-115</w:t>
      </w:r>
      <w:r>
        <w:rPr>
          <w:color w:val="000000" w:themeColor="text1"/>
          <w:sz w:val="20"/>
        </w:rPr>
        <w:t>.</w:t>
      </w:r>
    </w:p>
    <w:p w14:paraId="71D90A51" w14:textId="77777777" w:rsidR="00FB3C4E" w:rsidRPr="00FB3C4E" w:rsidRDefault="00FB3C4E" w:rsidP="000E13B7">
      <w:pPr>
        <w:pStyle w:val="ListeParagraf"/>
        <w:numPr>
          <w:ilvl w:val="0"/>
          <w:numId w:val="17"/>
        </w:numPr>
        <w:spacing w:before="240" w:after="240"/>
        <w:rPr>
          <w:color w:val="000000" w:themeColor="text1"/>
          <w:sz w:val="20"/>
        </w:rPr>
      </w:pPr>
      <w:r w:rsidRPr="00FB3C4E">
        <w:rPr>
          <w:rFonts w:eastAsiaTheme="minorHAnsi" w:cstheme="minorBidi"/>
          <w:color w:val="000000" w:themeColor="text1"/>
          <w:kern w:val="2"/>
          <w:sz w:val="20"/>
          <w14:ligatures w14:val="standardContextual"/>
        </w:rPr>
        <w:t>Bhaswant, M</w:t>
      </w:r>
      <w:proofErr w:type="gramStart"/>
      <w:r w:rsidRPr="00FB3C4E">
        <w:rPr>
          <w:rFonts w:eastAsiaTheme="minorHAnsi" w:cstheme="minorBidi"/>
          <w:color w:val="000000" w:themeColor="text1"/>
          <w:kern w:val="2"/>
          <w:sz w:val="20"/>
          <w14:ligatures w14:val="standardContextual"/>
        </w:rPr>
        <w:t>.,</w:t>
      </w:r>
      <w:proofErr w:type="gramEnd"/>
      <w:r w:rsidRPr="00FB3C4E">
        <w:rPr>
          <w:rFonts w:eastAsiaTheme="minorHAnsi" w:cstheme="minorBidi"/>
          <w:color w:val="000000" w:themeColor="text1"/>
          <w:kern w:val="2"/>
          <w:sz w:val="20"/>
          <w14:ligatures w14:val="standardContextual"/>
        </w:rPr>
        <w:t xml:space="preserve"> Shanmugam, D. K., Miyazawa, T., Abe, C., &amp; Miyazawa, T. (2023). Microgreens: a comprehensive review of bioactive molecules and health benefits. Molecules, 28(2), 867.</w:t>
      </w:r>
    </w:p>
    <w:p w14:paraId="2CA295A5" w14:textId="77777777" w:rsidR="00FB3C4E" w:rsidRPr="00FB3C4E" w:rsidRDefault="00FB3C4E" w:rsidP="000E13B7">
      <w:pPr>
        <w:pStyle w:val="ListeParagraf"/>
        <w:numPr>
          <w:ilvl w:val="0"/>
          <w:numId w:val="17"/>
        </w:numPr>
        <w:spacing w:before="240" w:after="240"/>
        <w:rPr>
          <w:rFonts w:eastAsiaTheme="minorHAnsi" w:cstheme="minorBidi"/>
          <w:color w:val="000000" w:themeColor="text1"/>
          <w:kern w:val="2"/>
          <w:sz w:val="20"/>
          <w14:ligatures w14:val="standardContextual"/>
        </w:rPr>
      </w:pPr>
      <w:r w:rsidRPr="00FB3C4E">
        <w:rPr>
          <w:rFonts w:eastAsiaTheme="minorHAnsi" w:cstheme="minorBidi" w:hint="eastAsia"/>
          <w:color w:val="000000" w:themeColor="text1"/>
          <w:kern w:val="2"/>
          <w:sz w:val="20"/>
          <w14:ligatures w14:val="standardContextual"/>
        </w:rPr>
        <w:lastRenderedPageBreak/>
        <w:t xml:space="preserve"> X</w:t>
      </w:r>
      <w:r w:rsidRPr="00FB3C4E">
        <w:rPr>
          <w:color w:val="000000" w:themeColor="text1"/>
          <w:sz w:val="20"/>
        </w:rPr>
        <w:t>iao, Z</w:t>
      </w:r>
      <w:proofErr w:type="gramStart"/>
      <w:r w:rsidRPr="00FB3C4E">
        <w:rPr>
          <w:color w:val="000000" w:themeColor="text1"/>
          <w:sz w:val="20"/>
        </w:rPr>
        <w:t>.,</w:t>
      </w:r>
      <w:proofErr w:type="gramEnd"/>
      <w:r w:rsidRPr="00FB3C4E">
        <w:rPr>
          <w:color w:val="000000" w:themeColor="text1"/>
          <w:sz w:val="20"/>
        </w:rPr>
        <w:t xml:space="preserve"> Lester, G. E., Park, E., Saftner, R. A., Luo, Y., &amp; Wang, Q. (2015). Evaluation and correlation of sensory attributes and chemical compositions of emerging fresh produce: Microgreens. Postharvest Biology and Technology, 110, 140-148. </w:t>
      </w:r>
    </w:p>
    <w:p w14:paraId="269671AE" w14:textId="7453A68B" w:rsidR="00FB3C4E" w:rsidRPr="00FB3C4E" w:rsidRDefault="00FB3C4E" w:rsidP="000E13B7">
      <w:pPr>
        <w:pStyle w:val="ListeParagraf"/>
        <w:numPr>
          <w:ilvl w:val="0"/>
          <w:numId w:val="17"/>
        </w:numPr>
        <w:spacing w:before="240" w:after="240"/>
        <w:rPr>
          <w:rFonts w:eastAsiaTheme="minorHAnsi" w:cstheme="minorBidi"/>
          <w:color w:val="000000" w:themeColor="text1"/>
          <w:kern w:val="2"/>
          <w:sz w:val="20"/>
          <w14:ligatures w14:val="standardContextual"/>
        </w:rPr>
      </w:pPr>
      <w:r w:rsidRPr="00FB3C4E">
        <w:rPr>
          <w:rFonts w:eastAsiaTheme="minorHAnsi" w:cstheme="minorBidi"/>
          <w:color w:val="000000" w:themeColor="text1"/>
          <w:kern w:val="2"/>
          <w:sz w:val="20"/>
          <w14:ligatures w14:val="standardContextual"/>
        </w:rPr>
        <w:t xml:space="preserve"> Gahruie, H. H</w:t>
      </w:r>
      <w:proofErr w:type="gramStart"/>
      <w:r w:rsidRPr="00FB3C4E">
        <w:rPr>
          <w:rFonts w:eastAsiaTheme="minorHAnsi" w:cstheme="minorBidi"/>
          <w:color w:val="000000" w:themeColor="text1"/>
          <w:kern w:val="2"/>
          <w:sz w:val="20"/>
          <w14:ligatures w14:val="standardContextual"/>
        </w:rPr>
        <w:t>.,</w:t>
      </w:r>
      <w:proofErr w:type="gramEnd"/>
      <w:r w:rsidRPr="00FB3C4E">
        <w:rPr>
          <w:rFonts w:eastAsiaTheme="minorHAnsi" w:cstheme="minorBidi"/>
          <w:color w:val="000000" w:themeColor="text1"/>
          <w:kern w:val="2"/>
          <w:sz w:val="20"/>
          <w14:ligatures w14:val="standardContextual"/>
        </w:rPr>
        <w:t xml:space="preserve"> Eskandari, M. H., Mesbahi, G., &amp; Hanifpour, M. A. (2015). Scientific and technical aspects of yogurt fortification: A review. </w:t>
      </w:r>
      <w:r w:rsidRPr="00FB3C4E">
        <w:rPr>
          <w:rFonts w:eastAsiaTheme="minorHAnsi" w:cstheme="minorBidi"/>
          <w:i/>
          <w:color w:val="000000" w:themeColor="text1"/>
          <w:kern w:val="2"/>
          <w:sz w:val="20"/>
          <w14:ligatures w14:val="standardContextual"/>
        </w:rPr>
        <w:t>Food Science and Human Wellness,</w:t>
      </w:r>
      <w:r w:rsidRPr="00FB3C4E">
        <w:rPr>
          <w:rFonts w:eastAsiaTheme="minorHAnsi" w:cstheme="minorBidi"/>
          <w:color w:val="000000" w:themeColor="text1"/>
          <w:kern w:val="2"/>
          <w:sz w:val="20"/>
          <w14:ligatures w14:val="standardContextual"/>
        </w:rPr>
        <w:t xml:space="preserve"> 4(1), 1-8. </w:t>
      </w:r>
    </w:p>
    <w:p w14:paraId="7493DC60" w14:textId="77777777" w:rsidR="00FB3C4E" w:rsidRDefault="00FB3C4E" w:rsidP="000E13B7">
      <w:pPr>
        <w:pStyle w:val="ListeParagraf"/>
        <w:numPr>
          <w:ilvl w:val="0"/>
          <w:numId w:val="17"/>
        </w:numPr>
        <w:spacing w:before="240" w:after="240"/>
        <w:rPr>
          <w:color w:val="000000" w:themeColor="text1"/>
          <w:sz w:val="20"/>
        </w:rPr>
      </w:pPr>
      <w:r>
        <w:rPr>
          <w:rFonts w:eastAsiaTheme="minorHAnsi" w:cstheme="minorBidi"/>
          <w:color w:val="000000" w:themeColor="text1"/>
          <w:kern w:val="2"/>
          <w:sz w:val="20"/>
          <w14:ligatures w14:val="standardContextual"/>
        </w:rPr>
        <w:t xml:space="preserve"> Tavakoli, H</w:t>
      </w:r>
      <w:proofErr w:type="gramStart"/>
      <w:r>
        <w:rPr>
          <w:rFonts w:eastAsiaTheme="minorHAnsi" w:cstheme="minorBidi"/>
          <w:color w:val="000000" w:themeColor="text1"/>
          <w:kern w:val="2"/>
          <w:sz w:val="20"/>
          <w14:ligatures w14:val="standardContextual"/>
        </w:rPr>
        <w:t>.,</w:t>
      </w:r>
      <w:proofErr w:type="gramEnd"/>
      <w:r>
        <w:rPr>
          <w:rFonts w:eastAsiaTheme="minorHAnsi" w:cstheme="minorBidi"/>
          <w:color w:val="000000" w:themeColor="text1"/>
          <w:kern w:val="2"/>
          <w:sz w:val="20"/>
          <w14:ligatures w14:val="standardContextual"/>
        </w:rPr>
        <w:t xml:space="preserve"> Hosseini, O., Jafari, S. M., &amp; Katouzian, I. (2018). Evaluation of physicochemical and antioxidant properties of yogurt enriched by olive leaf phenolics within nanoliposomes. </w:t>
      </w:r>
      <w:r>
        <w:rPr>
          <w:rFonts w:eastAsiaTheme="minorHAnsi" w:cstheme="minorBidi"/>
          <w:i/>
          <w:color w:val="000000" w:themeColor="text1"/>
          <w:kern w:val="2"/>
          <w:sz w:val="20"/>
          <w14:ligatures w14:val="standardContextual"/>
        </w:rPr>
        <w:t>Journal of Agricultural and food chemistry</w:t>
      </w:r>
      <w:r>
        <w:rPr>
          <w:rFonts w:eastAsiaTheme="minorHAnsi" w:cstheme="minorBidi"/>
          <w:color w:val="000000" w:themeColor="text1"/>
          <w:kern w:val="2"/>
          <w:sz w:val="20"/>
          <w14:ligatures w14:val="standardContextual"/>
        </w:rPr>
        <w:t>, 66(35), 9231-9240.</w:t>
      </w:r>
    </w:p>
    <w:p w14:paraId="677A499B" w14:textId="77777777" w:rsidR="00FB3C4E" w:rsidRDefault="00FB3C4E" w:rsidP="000E13B7">
      <w:pPr>
        <w:pStyle w:val="ListeParagraf"/>
        <w:numPr>
          <w:ilvl w:val="0"/>
          <w:numId w:val="17"/>
        </w:numPr>
        <w:spacing w:before="240" w:after="240"/>
        <w:rPr>
          <w:rFonts w:eastAsiaTheme="minorHAnsi" w:cstheme="minorBidi"/>
          <w:color w:val="000000" w:themeColor="text1"/>
          <w:kern w:val="2"/>
          <w:sz w:val="20"/>
          <w14:ligatures w14:val="standardContextual"/>
        </w:rPr>
      </w:pPr>
      <w:r>
        <w:rPr>
          <w:rFonts w:eastAsia="DengXian"/>
          <w:color w:val="000000" w:themeColor="text1"/>
          <w:sz w:val="20"/>
        </w:rPr>
        <w:t xml:space="preserve"> Šeregelj, V</w:t>
      </w:r>
      <w:proofErr w:type="gramStart"/>
      <w:r>
        <w:rPr>
          <w:rFonts w:eastAsia="DengXian"/>
          <w:color w:val="000000" w:themeColor="text1"/>
          <w:sz w:val="20"/>
        </w:rPr>
        <w:t>.,</w:t>
      </w:r>
      <w:proofErr w:type="gramEnd"/>
      <w:r>
        <w:rPr>
          <w:rFonts w:eastAsia="DengXian"/>
          <w:color w:val="000000" w:themeColor="text1"/>
          <w:sz w:val="20"/>
        </w:rPr>
        <w:t xml:space="preserve"> Pezo, L., Šovljanski, O., Lević, S., Nedović, V., Markov, S., Tomić, A., Čanadanović-Brunet, J., Vulić, J., &amp; Šaponjac, V. T. (2021). New concept of fortified yogurt formulation with encapsulated carrot waste extract. </w:t>
      </w:r>
      <w:r>
        <w:rPr>
          <w:rFonts w:eastAsia="DengXian"/>
          <w:i/>
          <w:color w:val="000000" w:themeColor="text1"/>
          <w:sz w:val="20"/>
        </w:rPr>
        <w:t>Lwt</w:t>
      </w:r>
      <w:r>
        <w:rPr>
          <w:rFonts w:eastAsia="DengXian"/>
          <w:color w:val="000000" w:themeColor="text1"/>
          <w:sz w:val="20"/>
        </w:rPr>
        <w:t>, 138, 110732</w:t>
      </w:r>
      <w:r>
        <w:rPr>
          <w:color w:val="000000" w:themeColor="text1"/>
          <w:sz w:val="20"/>
        </w:rPr>
        <w:t>.</w:t>
      </w:r>
    </w:p>
    <w:p w14:paraId="5966AD87" w14:textId="77777777" w:rsidR="00FB3C4E" w:rsidRDefault="00FB3C4E" w:rsidP="000E13B7">
      <w:pPr>
        <w:pStyle w:val="ListeParagraf"/>
        <w:numPr>
          <w:ilvl w:val="0"/>
          <w:numId w:val="17"/>
        </w:numPr>
        <w:spacing w:before="240" w:after="240"/>
        <w:rPr>
          <w:rFonts w:eastAsiaTheme="minorHAnsi" w:cstheme="minorBidi"/>
          <w:color w:val="000000" w:themeColor="text1"/>
          <w:kern w:val="2"/>
          <w:sz w:val="20"/>
          <w14:ligatures w14:val="standardContextual"/>
        </w:rPr>
      </w:pPr>
      <w:r>
        <w:rPr>
          <w:color w:val="000000" w:themeColor="text1"/>
          <w:sz w:val="20"/>
        </w:rPr>
        <w:t xml:space="preserve"> </w:t>
      </w:r>
      <w:r>
        <w:rPr>
          <w:rFonts w:eastAsiaTheme="minorHAnsi" w:cstheme="minorBidi"/>
          <w:color w:val="000000" w:themeColor="text1"/>
          <w:kern w:val="2"/>
          <w:sz w:val="20"/>
          <w14:ligatures w14:val="standardContextual"/>
        </w:rPr>
        <w:t>Amiri, Z. R</w:t>
      </w:r>
      <w:proofErr w:type="gramStart"/>
      <w:r>
        <w:rPr>
          <w:rFonts w:eastAsiaTheme="minorHAnsi" w:cstheme="minorBidi"/>
          <w:color w:val="000000" w:themeColor="text1"/>
          <w:kern w:val="2"/>
          <w:sz w:val="20"/>
          <w14:ligatures w14:val="standardContextual"/>
        </w:rPr>
        <w:t>.,</w:t>
      </w:r>
      <w:proofErr w:type="gramEnd"/>
      <w:r>
        <w:rPr>
          <w:rFonts w:eastAsiaTheme="minorHAnsi" w:cstheme="minorBidi"/>
          <w:color w:val="000000" w:themeColor="text1"/>
          <w:kern w:val="2"/>
          <w:sz w:val="20"/>
          <w14:ligatures w14:val="standardContextual"/>
        </w:rPr>
        <w:t xml:space="preserve"> Nemati, A., Tirgarian, B., Dehghan, B., &amp; Nasiri, H. (2021). Influence of stinging </w:t>
      </w:r>
      <w:proofErr w:type="gramStart"/>
      <w:r>
        <w:rPr>
          <w:rFonts w:eastAsiaTheme="minorHAnsi" w:cstheme="minorBidi"/>
          <w:color w:val="000000" w:themeColor="text1"/>
          <w:kern w:val="2"/>
          <w:sz w:val="20"/>
          <w14:ligatures w14:val="standardContextual"/>
        </w:rPr>
        <w:t xml:space="preserve">nettle  </w:t>
      </w:r>
      <w:r>
        <w:rPr>
          <w:rFonts w:eastAsiaTheme="minorHAnsi" w:cstheme="minorBidi"/>
          <w:i/>
          <w:color w:val="000000" w:themeColor="text1"/>
          <w:kern w:val="2"/>
          <w:sz w:val="20"/>
          <w14:ligatures w14:val="standardContextual"/>
        </w:rPr>
        <w:t>Urtica</w:t>
      </w:r>
      <w:proofErr w:type="gramEnd"/>
      <w:r>
        <w:rPr>
          <w:rFonts w:eastAsiaTheme="minorHAnsi" w:cstheme="minorBidi"/>
          <w:i/>
          <w:color w:val="000000" w:themeColor="text1"/>
          <w:kern w:val="2"/>
          <w:sz w:val="20"/>
          <w14:ligatures w14:val="standardContextual"/>
        </w:rPr>
        <w:t xml:space="preserve"> dioica</w:t>
      </w:r>
      <w:r>
        <w:rPr>
          <w:rFonts w:eastAsiaTheme="minorHAnsi" w:cstheme="minorBidi"/>
          <w:color w:val="000000" w:themeColor="text1"/>
          <w:kern w:val="2"/>
          <w:sz w:val="20"/>
          <w14:ligatures w14:val="standardContextual"/>
        </w:rPr>
        <w:t xml:space="preserve"> L.) extract-loaded nano-emulsion on the storage stability and antioxidant attributes of Doogh (Traditional Iranian yoghurt beverage). </w:t>
      </w:r>
      <w:r>
        <w:rPr>
          <w:rFonts w:eastAsiaTheme="minorHAnsi" w:cstheme="minorBidi"/>
          <w:i/>
          <w:color w:val="000000" w:themeColor="text1"/>
          <w:kern w:val="2"/>
          <w:sz w:val="20"/>
          <w14:ligatures w14:val="standardContextual"/>
        </w:rPr>
        <w:t>Journal of Food Measurement and Characterization</w:t>
      </w:r>
      <w:r>
        <w:rPr>
          <w:rFonts w:eastAsiaTheme="minorHAnsi" w:cstheme="minorBidi"/>
          <w:color w:val="000000" w:themeColor="text1"/>
          <w:kern w:val="2"/>
          <w:sz w:val="20"/>
          <w14:ligatures w14:val="standardContextual"/>
        </w:rPr>
        <w:t xml:space="preserve">, 15, 437-448. </w:t>
      </w:r>
    </w:p>
    <w:p w14:paraId="2D7F3781" w14:textId="77777777" w:rsidR="00FB3C4E" w:rsidRPr="009F2AFA" w:rsidRDefault="00FB3C4E" w:rsidP="000E13B7">
      <w:pPr>
        <w:numPr>
          <w:ilvl w:val="12"/>
          <w:numId w:val="0"/>
        </w:numPr>
        <w:tabs>
          <w:tab w:val="left" w:pos="-720"/>
          <w:tab w:val="left" w:pos="0"/>
          <w:tab w:val="left" w:pos="720"/>
        </w:tabs>
        <w:suppressAutoHyphens/>
        <w:spacing w:before="240" w:after="240"/>
        <w:rPr>
          <w:color w:val="000000"/>
        </w:rPr>
      </w:pPr>
    </w:p>
    <w:sectPr w:rsidR="00FB3C4E" w:rsidRPr="009F2AFA" w:rsidSect="0054438F">
      <w:headerReference w:type="default" r:id="rId10"/>
      <w:footerReference w:type="default" r:id="rId11"/>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D742C" w14:textId="77777777" w:rsidR="00BE34DC" w:rsidRDefault="00BE34DC" w:rsidP="00DD1CB2">
      <w:r>
        <w:separator/>
      </w:r>
    </w:p>
  </w:endnote>
  <w:endnote w:type="continuationSeparator" w:id="0">
    <w:p w14:paraId="517EEA78" w14:textId="77777777" w:rsidR="00BE34DC" w:rsidRDefault="00BE34DC" w:rsidP="00DD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Palatino">
    <w:altName w:val="Book Antiqua"/>
    <w:charset w:val="A2"/>
    <w:family w:val="roman"/>
    <w:pitch w:val="variable"/>
    <w:sig w:usb0="00000007" w:usb1="00000000" w:usb2="00000000" w:usb3="00000000" w:csb0="00000093" w:csb1="00000000"/>
  </w:font>
  <w:font w:name="等线">
    <w:altName w:val="Microsoft YaHei"/>
    <w:charset w:val="86"/>
    <w:family w:val="auto"/>
    <w:pitch w:val="default"/>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DengXi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742788"/>
      <w:docPartObj>
        <w:docPartGallery w:val="Page Numbers (Bottom of Page)"/>
        <w:docPartUnique/>
      </w:docPartObj>
    </w:sdtPr>
    <w:sdtEndPr/>
    <w:sdtContent>
      <w:p w14:paraId="58E26768" w14:textId="77777777" w:rsidR="009A6F2A" w:rsidRDefault="009A6F2A">
        <w:pPr>
          <w:pStyle w:val="Altbilgi"/>
          <w:jc w:val="center"/>
        </w:pPr>
        <w:r>
          <w:fldChar w:fldCharType="begin"/>
        </w:r>
        <w:r>
          <w:instrText>PAGE   \* MERGEFORMAT</w:instrText>
        </w:r>
        <w:r>
          <w:fldChar w:fldCharType="separate"/>
        </w:r>
        <w:r w:rsidR="000E13B7" w:rsidRPr="000E13B7">
          <w:rPr>
            <w:noProof/>
            <w:lang w:val="tr-TR"/>
          </w:rPr>
          <w:t>5</w:t>
        </w:r>
        <w:r>
          <w:fldChar w:fldCharType="end"/>
        </w:r>
      </w:p>
    </w:sdtContent>
  </w:sdt>
  <w:p w14:paraId="00A5E125" w14:textId="77777777" w:rsidR="009A6F2A" w:rsidRDefault="009A6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EFFE7" w14:textId="77777777" w:rsidR="00BE34DC" w:rsidRDefault="00BE34DC" w:rsidP="00DD1CB2">
      <w:r>
        <w:separator/>
      </w:r>
    </w:p>
  </w:footnote>
  <w:footnote w:type="continuationSeparator" w:id="0">
    <w:p w14:paraId="656A52FC" w14:textId="77777777" w:rsidR="00BE34DC" w:rsidRDefault="00BE34DC" w:rsidP="00DD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91F2A" w14:textId="77777777" w:rsidR="00DD1CB2" w:rsidRPr="00DD1CB2" w:rsidRDefault="00DD1CB2" w:rsidP="00DD1CB2">
    <w:pPr>
      <w:pStyle w:val="stbilgi"/>
      <w:jc w:val="center"/>
      <w:rPr>
        <w:rFonts w:cs="Arial"/>
        <w:b/>
        <w:caps/>
        <w:sz w:val="18"/>
        <w:szCs w:val="18"/>
      </w:rPr>
    </w:pPr>
    <w:r w:rsidRPr="00DD1CB2">
      <w:rPr>
        <w:rFonts w:cs="Arial"/>
        <w:b/>
        <w:caps/>
        <w:sz w:val="18"/>
        <w:szCs w:val="18"/>
      </w:rPr>
      <w:t xml:space="preserve">Turk 2025: </w:t>
    </w:r>
    <w:r w:rsidR="009C6E6F">
      <w:rPr>
        <w:rFonts w:cs="Arial"/>
        <w:b/>
        <w:caps/>
        <w:sz w:val="18"/>
        <w:szCs w:val="18"/>
      </w:rPr>
      <w:t>1</w:t>
    </w:r>
    <w:r w:rsidR="009C6E6F" w:rsidRPr="009C6E6F">
      <w:rPr>
        <w:rFonts w:cs="Arial"/>
        <w:b/>
        <w:caps/>
        <w:sz w:val="18"/>
        <w:szCs w:val="18"/>
        <w:vertAlign w:val="superscript"/>
      </w:rPr>
      <w:t>st</w:t>
    </w:r>
    <w:r w:rsidR="009C6E6F">
      <w:rPr>
        <w:rFonts w:cs="Arial"/>
        <w:b/>
        <w:caps/>
        <w:sz w:val="18"/>
        <w:szCs w:val="18"/>
      </w:rPr>
      <w:t xml:space="preserve"> </w:t>
    </w:r>
    <w:r w:rsidRPr="00DD1CB2">
      <w:rPr>
        <w:rFonts w:cs="Arial"/>
        <w:b/>
        <w:caps/>
        <w:sz w:val="18"/>
        <w:szCs w:val="18"/>
      </w:rPr>
      <w:t>International Manas Congress on Science and Technology</w:t>
    </w:r>
  </w:p>
  <w:p w14:paraId="2EED640D" w14:textId="77777777" w:rsidR="00DD1CB2" w:rsidRPr="00DD1CB2" w:rsidRDefault="00DD1CB2" w:rsidP="00DD1CB2">
    <w:pPr>
      <w:pStyle w:val="stbilgi"/>
      <w:jc w:val="right"/>
      <w:rPr>
        <w:sz w:val="18"/>
        <w:szCs w:val="18"/>
      </w:rPr>
    </w:pPr>
    <w:r w:rsidRPr="00DD1CB2">
      <w:rPr>
        <w:rFonts w:cs="Arial"/>
        <w:b/>
        <w:caps/>
        <w:sz w:val="18"/>
        <w:szCs w:val="18"/>
      </w:rPr>
      <w:t>24-26 APRIL 2025, Manas, Kyrgyzstan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285971"/>
    <w:multiLevelType w:val="multilevel"/>
    <w:tmpl w:val="0E564E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A44B96"/>
    <w:multiLevelType w:val="multilevel"/>
    <w:tmpl w:val="D504A5E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A13E1C"/>
    <w:multiLevelType w:val="hybridMultilevel"/>
    <w:tmpl w:val="15581F3E"/>
    <w:lvl w:ilvl="0" w:tplc="055A9350">
      <w:start w:val="1"/>
      <w:numFmt w:val="decimal"/>
      <w:lvlText w:val="[%1]"/>
      <w:lvlJc w:val="left"/>
      <w:pPr>
        <w:ind w:left="360" w:hanging="360"/>
      </w:pPr>
      <w:rPr>
        <w:rFonts w:hint="default"/>
        <w:b w:val="0"/>
        <w:bCs w:val="0"/>
        <w:i w:val="0"/>
        <w:i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4"/>
  </w:num>
  <w:num w:numId="4">
    <w:abstractNumId w:val="7"/>
  </w:num>
  <w:num w:numId="5">
    <w:abstractNumId w:val="0"/>
  </w:num>
  <w:num w:numId="6">
    <w:abstractNumId w:val="1"/>
  </w:num>
  <w:num w:numId="7">
    <w:abstractNumId w:val="2"/>
  </w:num>
  <w:num w:numId="8">
    <w:abstractNumId w:val="5"/>
  </w:num>
  <w:num w:numId="9">
    <w:abstractNumId w:val="11"/>
  </w:num>
  <w:num w:numId="10">
    <w:abstractNumId w:val="8"/>
  </w:num>
  <w:num w:numId="11">
    <w:abstractNumId w:val="6"/>
  </w:num>
  <w:num w:numId="12">
    <w:abstractNumId w:val="3"/>
  </w:num>
  <w:num w:numId="13">
    <w:abstractNumId w:val="10"/>
  </w:num>
  <w:num w:numId="14">
    <w:abstractNumId w:val="14"/>
  </w:num>
  <w:num w:numId="15">
    <w:abstractNumId w:val="9"/>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9E"/>
    <w:rsid w:val="00011CE7"/>
    <w:rsid w:val="000A289D"/>
    <w:rsid w:val="000E13B7"/>
    <w:rsid w:val="001A2D4A"/>
    <w:rsid w:val="00242E33"/>
    <w:rsid w:val="002B4870"/>
    <w:rsid w:val="00380081"/>
    <w:rsid w:val="003875FF"/>
    <w:rsid w:val="003E4722"/>
    <w:rsid w:val="003E7C21"/>
    <w:rsid w:val="004A3688"/>
    <w:rsid w:val="0054438F"/>
    <w:rsid w:val="0057539E"/>
    <w:rsid w:val="0059049B"/>
    <w:rsid w:val="00687CC2"/>
    <w:rsid w:val="006C7484"/>
    <w:rsid w:val="00701DB2"/>
    <w:rsid w:val="00783985"/>
    <w:rsid w:val="007B3E45"/>
    <w:rsid w:val="007F6889"/>
    <w:rsid w:val="00856A21"/>
    <w:rsid w:val="00857999"/>
    <w:rsid w:val="00865A8E"/>
    <w:rsid w:val="008C3B05"/>
    <w:rsid w:val="009031D5"/>
    <w:rsid w:val="009241F5"/>
    <w:rsid w:val="0096302B"/>
    <w:rsid w:val="009A6F2A"/>
    <w:rsid w:val="009C6E6F"/>
    <w:rsid w:val="009E008C"/>
    <w:rsid w:val="009E6A8F"/>
    <w:rsid w:val="009F2AFA"/>
    <w:rsid w:val="00A01973"/>
    <w:rsid w:val="00A4779D"/>
    <w:rsid w:val="00A57AEE"/>
    <w:rsid w:val="00A82883"/>
    <w:rsid w:val="00A8666D"/>
    <w:rsid w:val="00AA4418"/>
    <w:rsid w:val="00AB088A"/>
    <w:rsid w:val="00BC01DD"/>
    <w:rsid w:val="00BE34DC"/>
    <w:rsid w:val="00C8081A"/>
    <w:rsid w:val="00C80B7D"/>
    <w:rsid w:val="00C9446C"/>
    <w:rsid w:val="00D6430C"/>
    <w:rsid w:val="00D901F4"/>
    <w:rsid w:val="00DA17F2"/>
    <w:rsid w:val="00DB5C59"/>
    <w:rsid w:val="00DD1CB2"/>
    <w:rsid w:val="00E52410"/>
    <w:rsid w:val="00F46B4C"/>
    <w:rsid w:val="00F96649"/>
    <w:rsid w:val="00FB3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5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b/>
      <w:color w:val="000000"/>
    </w:rPr>
  </w:style>
  <w:style w:type="paragraph" w:styleId="Balk6">
    <w:name w:val="heading 6"/>
    <w:basedOn w:val="Normal"/>
    <w:next w:val="Normal"/>
    <w:link w:val="Balk6Char"/>
    <w:uiPriority w:val="9"/>
    <w:semiHidden/>
    <w:unhideWhenUsed/>
    <w:qFormat/>
    <w:rsid w:val="00701DB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sz w:val="28"/>
    </w:rPr>
  </w:style>
  <w:style w:type="character" w:styleId="Kpr">
    <w:name w:val="Hyperlink"/>
    <w:basedOn w:val="VarsaylanParagrafYazTipi"/>
    <w:rPr>
      <w:color w:val="0000FF"/>
      <w:u w:val="single"/>
    </w:rPr>
  </w:style>
  <w:style w:type="character" w:styleId="zlenenKpr">
    <w:name w:val="FollowedHyperlink"/>
    <w:basedOn w:val="VarsaylanParagrafYazTipi"/>
    <w:rPr>
      <w:color w:val="800080"/>
      <w:u w:val="single"/>
    </w:rPr>
  </w:style>
  <w:style w:type="table" w:styleId="TabloKlavuzu">
    <w:name w:val="Table Grid"/>
    <w:basedOn w:val="NormalTablo"/>
    <w:uiPriority w:val="39"/>
    <w:rsid w:val="00BC0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BC01DD"/>
    <w:pPr>
      <w:ind w:left="720" w:firstLine="567"/>
      <w:contextualSpacing/>
      <w:jc w:val="both"/>
    </w:pPr>
    <w:rPr>
      <w:sz w:val="22"/>
      <w:lang w:val="tr-TR"/>
    </w:rPr>
  </w:style>
  <w:style w:type="paragraph" w:styleId="stbilgi">
    <w:name w:val="header"/>
    <w:basedOn w:val="Normal"/>
    <w:link w:val="stbilgiChar"/>
    <w:uiPriority w:val="99"/>
    <w:unhideWhenUsed/>
    <w:rsid w:val="00DD1CB2"/>
    <w:pPr>
      <w:tabs>
        <w:tab w:val="center" w:pos="4536"/>
        <w:tab w:val="right" w:pos="9072"/>
      </w:tabs>
    </w:pPr>
  </w:style>
  <w:style w:type="character" w:customStyle="1" w:styleId="stbilgiChar">
    <w:name w:val="Üstbilgi Char"/>
    <w:basedOn w:val="VarsaylanParagrafYazTipi"/>
    <w:link w:val="stbilgi"/>
    <w:uiPriority w:val="99"/>
    <w:rsid w:val="00DD1CB2"/>
    <w:rPr>
      <w:sz w:val="24"/>
      <w:szCs w:val="24"/>
      <w:lang w:val="en-US" w:eastAsia="en-US"/>
    </w:rPr>
  </w:style>
  <w:style w:type="paragraph" w:styleId="Altbilgi">
    <w:name w:val="footer"/>
    <w:basedOn w:val="Normal"/>
    <w:link w:val="AltbilgiChar"/>
    <w:uiPriority w:val="99"/>
    <w:unhideWhenUsed/>
    <w:rsid w:val="00DD1CB2"/>
    <w:pPr>
      <w:tabs>
        <w:tab w:val="center" w:pos="4536"/>
        <w:tab w:val="right" w:pos="9072"/>
      </w:tabs>
    </w:pPr>
  </w:style>
  <w:style w:type="character" w:customStyle="1" w:styleId="AltbilgiChar">
    <w:name w:val="Altbilgi Char"/>
    <w:basedOn w:val="VarsaylanParagrafYazTipi"/>
    <w:link w:val="Altbilgi"/>
    <w:uiPriority w:val="99"/>
    <w:rsid w:val="00DD1CB2"/>
    <w:rPr>
      <w:sz w:val="24"/>
      <w:szCs w:val="24"/>
      <w:lang w:val="en-US" w:eastAsia="en-US"/>
    </w:rPr>
  </w:style>
  <w:style w:type="character" w:styleId="DipnotBavurusu">
    <w:name w:val="footnote reference"/>
    <w:basedOn w:val="VarsaylanParagrafYazTipi"/>
    <w:uiPriority w:val="99"/>
    <w:semiHidden/>
    <w:rsid w:val="00E52410"/>
    <w:rPr>
      <w:rFonts w:cs="Times New Roman"/>
      <w:position w:val="0"/>
      <w:vertAlign w:val="superscript"/>
    </w:rPr>
  </w:style>
  <w:style w:type="paragraph" w:styleId="DipnotMetni">
    <w:name w:val="footnote text"/>
    <w:basedOn w:val="Normal"/>
    <w:link w:val="DipnotMetniChar"/>
    <w:uiPriority w:val="99"/>
    <w:semiHidden/>
    <w:rsid w:val="00E52410"/>
    <w:pPr>
      <w:framePr w:w="5040" w:vSpace="200" w:wrap="notBeside" w:hAnchor="text" w:xAlign="center" w:yAlign="bottom"/>
      <w:widowControl w:val="0"/>
      <w:spacing w:line="170" w:lineRule="exact"/>
      <w:ind w:firstLine="144"/>
      <w:jc w:val="both"/>
    </w:pPr>
    <w:rPr>
      <w:rFonts w:ascii="Palatino" w:hAnsi="Palatino"/>
      <w:kern w:val="16"/>
      <w:sz w:val="20"/>
      <w:szCs w:val="20"/>
    </w:rPr>
  </w:style>
  <w:style w:type="character" w:customStyle="1" w:styleId="DipnotMetniChar">
    <w:name w:val="Dipnot Metni Char"/>
    <w:basedOn w:val="VarsaylanParagrafYazTipi"/>
    <w:link w:val="DipnotMetni"/>
    <w:uiPriority w:val="99"/>
    <w:semiHidden/>
    <w:rsid w:val="00E52410"/>
    <w:rPr>
      <w:rFonts w:ascii="Palatino" w:hAnsi="Palatino"/>
      <w:kern w:val="16"/>
      <w:lang w:val="en-US" w:eastAsia="en-US"/>
    </w:rPr>
  </w:style>
  <w:style w:type="paragraph" w:customStyle="1" w:styleId="keywords">
    <w:name w:val="key words"/>
    <w:uiPriority w:val="99"/>
    <w:rsid w:val="00E52410"/>
    <w:pPr>
      <w:spacing w:after="120"/>
      <w:ind w:firstLine="274"/>
      <w:jc w:val="both"/>
    </w:pPr>
    <w:rPr>
      <w:b/>
      <w:bCs/>
      <w:i/>
      <w:iCs/>
      <w:noProof/>
      <w:sz w:val="18"/>
      <w:szCs w:val="18"/>
      <w:lang w:val="en-US" w:eastAsia="en-US"/>
    </w:rPr>
  </w:style>
  <w:style w:type="character" w:customStyle="1" w:styleId="ListeParagrafChar">
    <w:name w:val="Liste Paragraf Char"/>
    <w:basedOn w:val="VarsaylanParagrafYazTipi"/>
    <w:link w:val="ListeParagraf"/>
    <w:uiPriority w:val="34"/>
    <w:rsid w:val="00E52410"/>
    <w:rPr>
      <w:sz w:val="22"/>
      <w:szCs w:val="24"/>
      <w:lang w:eastAsia="en-US"/>
    </w:rPr>
  </w:style>
  <w:style w:type="character" w:customStyle="1" w:styleId="Balk6Char">
    <w:name w:val="Başlık 6 Char"/>
    <w:basedOn w:val="VarsaylanParagrafYazTipi"/>
    <w:link w:val="Balk6"/>
    <w:uiPriority w:val="9"/>
    <w:semiHidden/>
    <w:rsid w:val="00701DB2"/>
    <w:rPr>
      <w:rFonts w:asciiTheme="majorHAnsi" w:eastAsiaTheme="majorEastAsia" w:hAnsiTheme="majorHAnsi" w:cstheme="majorBidi"/>
      <w:i/>
      <w:iCs/>
      <w:color w:val="1F4D78" w:themeColor="accent1" w:themeShade="7F"/>
      <w:sz w:val="24"/>
      <w:szCs w:val="24"/>
      <w:lang w:val="en-US" w:eastAsia="en-US"/>
    </w:rPr>
  </w:style>
  <w:style w:type="character" w:customStyle="1" w:styleId="EndNoteBibliographyChar">
    <w:name w:val="EndNote Bibliography Char"/>
    <w:basedOn w:val="VarsaylanParagrafYazTipi"/>
    <w:link w:val="EndNoteBibliography"/>
    <w:qFormat/>
    <w:locked/>
    <w:rsid w:val="00856A21"/>
    <w:rPr>
      <w:rFonts w:ascii="等线" w:eastAsiaTheme="minorEastAsia"/>
      <w:sz w:val="24"/>
      <w:szCs w:val="22"/>
      <w:lang w:val="en-US"/>
    </w:rPr>
  </w:style>
  <w:style w:type="paragraph" w:customStyle="1" w:styleId="EndNoteBibliography">
    <w:name w:val="EndNote Bibliography"/>
    <w:basedOn w:val="Normal"/>
    <w:link w:val="EndNoteBibliographyChar"/>
    <w:rsid w:val="00856A21"/>
    <w:pPr>
      <w:ind w:firstLine="680"/>
      <w:jc w:val="center"/>
    </w:pPr>
    <w:rPr>
      <w:rFonts w:ascii="等线" w:eastAsiaTheme="minorEastAsia"/>
      <w:szCs w:val="22"/>
      <w:lang w:eastAsia="tr-TR"/>
    </w:rPr>
  </w:style>
  <w:style w:type="paragraph" w:styleId="BalonMetni">
    <w:name w:val="Balloon Text"/>
    <w:basedOn w:val="Normal"/>
    <w:link w:val="BalonMetniChar"/>
    <w:uiPriority w:val="99"/>
    <w:semiHidden/>
    <w:unhideWhenUsed/>
    <w:rsid w:val="000E13B7"/>
    <w:rPr>
      <w:rFonts w:ascii="Tahoma" w:hAnsi="Tahoma" w:cs="Tahoma"/>
      <w:sz w:val="16"/>
      <w:szCs w:val="16"/>
    </w:rPr>
  </w:style>
  <w:style w:type="character" w:customStyle="1" w:styleId="BalonMetniChar">
    <w:name w:val="Balon Metni Char"/>
    <w:basedOn w:val="VarsaylanParagrafYazTipi"/>
    <w:link w:val="BalonMetni"/>
    <w:uiPriority w:val="99"/>
    <w:semiHidden/>
    <w:rsid w:val="000E13B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b/>
      <w:color w:val="000000"/>
    </w:rPr>
  </w:style>
  <w:style w:type="paragraph" w:styleId="Balk6">
    <w:name w:val="heading 6"/>
    <w:basedOn w:val="Normal"/>
    <w:next w:val="Normal"/>
    <w:link w:val="Balk6Char"/>
    <w:uiPriority w:val="9"/>
    <w:semiHidden/>
    <w:unhideWhenUsed/>
    <w:qFormat/>
    <w:rsid w:val="00701DB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sz w:val="28"/>
    </w:rPr>
  </w:style>
  <w:style w:type="character" w:styleId="Kpr">
    <w:name w:val="Hyperlink"/>
    <w:basedOn w:val="VarsaylanParagrafYazTipi"/>
    <w:rPr>
      <w:color w:val="0000FF"/>
      <w:u w:val="single"/>
    </w:rPr>
  </w:style>
  <w:style w:type="character" w:styleId="zlenenKpr">
    <w:name w:val="FollowedHyperlink"/>
    <w:basedOn w:val="VarsaylanParagrafYazTipi"/>
    <w:rPr>
      <w:color w:val="800080"/>
      <w:u w:val="single"/>
    </w:rPr>
  </w:style>
  <w:style w:type="table" w:styleId="TabloKlavuzu">
    <w:name w:val="Table Grid"/>
    <w:basedOn w:val="NormalTablo"/>
    <w:uiPriority w:val="39"/>
    <w:rsid w:val="00BC0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BC01DD"/>
    <w:pPr>
      <w:ind w:left="720" w:firstLine="567"/>
      <w:contextualSpacing/>
      <w:jc w:val="both"/>
    </w:pPr>
    <w:rPr>
      <w:sz w:val="22"/>
      <w:lang w:val="tr-TR"/>
    </w:rPr>
  </w:style>
  <w:style w:type="paragraph" w:styleId="stbilgi">
    <w:name w:val="header"/>
    <w:basedOn w:val="Normal"/>
    <w:link w:val="stbilgiChar"/>
    <w:uiPriority w:val="99"/>
    <w:unhideWhenUsed/>
    <w:rsid w:val="00DD1CB2"/>
    <w:pPr>
      <w:tabs>
        <w:tab w:val="center" w:pos="4536"/>
        <w:tab w:val="right" w:pos="9072"/>
      </w:tabs>
    </w:pPr>
  </w:style>
  <w:style w:type="character" w:customStyle="1" w:styleId="stbilgiChar">
    <w:name w:val="Üstbilgi Char"/>
    <w:basedOn w:val="VarsaylanParagrafYazTipi"/>
    <w:link w:val="stbilgi"/>
    <w:uiPriority w:val="99"/>
    <w:rsid w:val="00DD1CB2"/>
    <w:rPr>
      <w:sz w:val="24"/>
      <w:szCs w:val="24"/>
      <w:lang w:val="en-US" w:eastAsia="en-US"/>
    </w:rPr>
  </w:style>
  <w:style w:type="paragraph" w:styleId="Altbilgi">
    <w:name w:val="footer"/>
    <w:basedOn w:val="Normal"/>
    <w:link w:val="AltbilgiChar"/>
    <w:uiPriority w:val="99"/>
    <w:unhideWhenUsed/>
    <w:rsid w:val="00DD1CB2"/>
    <w:pPr>
      <w:tabs>
        <w:tab w:val="center" w:pos="4536"/>
        <w:tab w:val="right" w:pos="9072"/>
      </w:tabs>
    </w:pPr>
  </w:style>
  <w:style w:type="character" w:customStyle="1" w:styleId="AltbilgiChar">
    <w:name w:val="Altbilgi Char"/>
    <w:basedOn w:val="VarsaylanParagrafYazTipi"/>
    <w:link w:val="Altbilgi"/>
    <w:uiPriority w:val="99"/>
    <w:rsid w:val="00DD1CB2"/>
    <w:rPr>
      <w:sz w:val="24"/>
      <w:szCs w:val="24"/>
      <w:lang w:val="en-US" w:eastAsia="en-US"/>
    </w:rPr>
  </w:style>
  <w:style w:type="character" w:styleId="DipnotBavurusu">
    <w:name w:val="footnote reference"/>
    <w:basedOn w:val="VarsaylanParagrafYazTipi"/>
    <w:uiPriority w:val="99"/>
    <w:semiHidden/>
    <w:rsid w:val="00E52410"/>
    <w:rPr>
      <w:rFonts w:cs="Times New Roman"/>
      <w:position w:val="0"/>
      <w:vertAlign w:val="superscript"/>
    </w:rPr>
  </w:style>
  <w:style w:type="paragraph" w:styleId="DipnotMetni">
    <w:name w:val="footnote text"/>
    <w:basedOn w:val="Normal"/>
    <w:link w:val="DipnotMetniChar"/>
    <w:uiPriority w:val="99"/>
    <w:semiHidden/>
    <w:rsid w:val="00E52410"/>
    <w:pPr>
      <w:framePr w:w="5040" w:vSpace="200" w:wrap="notBeside" w:hAnchor="text" w:xAlign="center" w:yAlign="bottom"/>
      <w:widowControl w:val="0"/>
      <w:spacing w:line="170" w:lineRule="exact"/>
      <w:ind w:firstLine="144"/>
      <w:jc w:val="both"/>
    </w:pPr>
    <w:rPr>
      <w:rFonts w:ascii="Palatino" w:hAnsi="Palatino"/>
      <w:kern w:val="16"/>
      <w:sz w:val="20"/>
      <w:szCs w:val="20"/>
    </w:rPr>
  </w:style>
  <w:style w:type="character" w:customStyle="1" w:styleId="DipnotMetniChar">
    <w:name w:val="Dipnot Metni Char"/>
    <w:basedOn w:val="VarsaylanParagrafYazTipi"/>
    <w:link w:val="DipnotMetni"/>
    <w:uiPriority w:val="99"/>
    <w:semiHidden/>
    <w:rsid w:val="00E52410"/>
    <w:rPr>
      <w:rFonts w:ascii="Palatino" w:hAnsi="Palatino"/>
      <w:kern w:val="16"/>
      <w:lang w:val="en-US" w:eastAsia="en-US"/>
    </w:rPr>
  </w:style>
  <w:style w:type="paragraph" w:customStyle="1" w:styleId="keywords">
    <w:name w:val="key words"/>
    <w:uiPriority w:val="99"/>
    <w:rsid w:val="00E52410"/>
    <w:pPr>
      <w:spacing w:after="120"/>
      <w:ind w:firstLine="274"/>
      <w:jc w:val="both"/>
    </w:pPr>
    <w:rPr>
      <w:b/>
      <w:bCs/>
      <w:i/>
      <w:iCs/>
      <w:noProof/>
      <w:sz w:val="18"/>
      <w:szCs w:val="18"/>
      <w:lang w:val="en-US" w:eastAsia="en-US"/>
    </w:rPr>
  </w:style>
  <w:style w:type="character" w:customStyle="1" w:styleId="ListeParagrafChar">
    <w:name w:val="Liste Paragraf Char"/>
    <w:basedOn w:val="VarsaylanParagrafYazTipi"/>
    <w:link w:val="ListeParagraf"/>
    <w:uiPriority w:val="34"/>
    <w:rsid w:val="00E52410"/>
    <w:rPr>
      <w:sz w:val="22"/>
      <w:szCs w:val="24"/>
      <w:lang w:eastAsia="en-US"/>
    </w:rPr>
  </w:style>
  <w:style w:type="character" w:customStyle="1" w:styleId="Balk6Char">
    <w:name w:val="Başlık 6 Char"/>
    <w:basedOn w:val="VarsaylanParagrafYazTipi"/>
    <w:link w:val="Balk6"/>
    <w:uiPriority w:val="9"/>
    <w:semiHidden/>
    <w:rsid w:val="00701DB2"/>
    <w:rPr>
      <w:rFonts w:asciiTheme="majorHAnsi" w:eastAsiaTheme="majorEastAsia" w:hAnsiTheme="majorHAnsi" w:cstheme="majorBidi"/>
      <w:i/>
      <w:iCs/>
      <w:color w:val="1F4D78" w:themeColor="accent1" w:themeShade="7F"/>
      <w:sz w:val="24"/>
      <w:szCs w:val="24"/>
      <w:lang w:val="en-US" w:eastAsia="en-US"/>
    </w:rPr>
  </w:style>
  <w:style w:type="character" w:customStyle="1" w:styleId="EndNoteBibliographyChar">
    <w:name w:val="EndNote Bibliography Char"/>
    <w:basedOn w:val="VarsaylanParagrafYazTipi"/>
    <w:link w:val="EndNoteBibliography"/>
    <w:qFormat/>
    <w:locked/>
    <w:rsid w:val="00856A21"/>
    <w:rPr>
      <w:rFonts w:ascii="等线" w:eastAsiaTheme="minorEastAsia"/>
      <w:sz w:val="24"/>
      <w:szCs w:val="22"/>
      <w:lang w:val="en-US"/>
    </w:rPr>
  </w:style>
  <w:style w:type="paragraph" w:customStyle="1" w:styleId="EndNoteBibliography">
    <w:name w:val="EndNote Bibliography"/>
    <w:basedOn w:val="Normal"/>
    <w:link w:val="EndNoteBibliographyChar"/>
    <w:rsid w:val="00856A21"/>
    <w:pPr>
      <w:ind w:firstLine="680"/>
      <w:jc w:val="center"/>
    </w:pPr>
    <w:rPr>
      <w:rFonts w:ascii="等线" w:eastAsiaTheme="minorEastAsia"/>
      <w:szCs w:val="22"/>
      <w:lang w:eastAsia="tr-TR"/>
    </w:rPr>
  </w:style>
  <w:style w:type="paragraph" w:styleId="BalonMetni">
    <w:name w:val="Balloon Text"/>
    <w:basedOn w:val="Normal"/>
    <w:link w:val="BalonMetniChar"/>
    <w:uiPriority w:val="99"/>
    <w:semiHidden/>
    <w:unhideWhenUsed/>
    <w:rsid w:val="000E13B7"/>
    <w:rPr>
      <w:rFonts w:ascii="Tahoma" w:hAnsi="Tahoma" w:cs="Tahoma"/>
      <w:sz w:val="16"/>
      <w:szCs w:val="16"/>
    </w:rPr>
  </w:style>
  <w:style w:type="character" w:customStyle="1" w:styleId="BalonMetniChar">
    <w:name w:val="Balon Metni Char"/>
    <w:basedOn w:val="VarsaylanParagrafYazTipi"/>
    <w:link w:val="BalonMetni"/>
    <w:uiPriority w:val="99"/>
    <w:semiHidden/>
    <w:rsid w:val="000E13B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467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DF9F-0B4D-466F-98F8-E57BEB7A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2281</Words>
  <Characters>13002</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Abstract Template</vt:lpstr>
      <vt:lpstr>Abstract Template</vt:lpstr>
    </vt:vector>
  </TitlesOfParts>
  <Company>Copernicus Gesellschaft e.V.</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Sergey Malugin</dc:creator>
  <dc:description>(c) Copernicus Gesellschaft e.V. 2004</dc:description>
  <cp:lastModifiedBy>SONY</cp:lastModifiedBy>
  <cp:revision>8</cp:revision>
  <dcterms:created xsi:type="dcterms:W3CDTF">2025-03-09T12:22:00Z</dcterms:created>
  <dcterms:modified xsi:type="dcterms:W3CDTF">2025-03-09T13:12:00Z</dcterms:modified>
</cp:coreProperties>
</file>